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D2C" w:rsidRPr="00917D2C" w:rsidRDefault="00917D2C" w:rsidP="00917D2C">
      <w:pPr>
        <w:rPr>
          <w:rFonts w:cs="Times New Roman"/>
          <w:sz w:val="28"/>
          <w:szCs w:val="28"/>
        </w:rPr>
      </w:pPr>
      <w:r w:rsidRPr="00917D2C">
        <w:rPr>
          <w:rFonts w:cs="Times New Roman"/>
          <w:sz w:val="28"/>
          <w:szCs w:val="28"/>
        </w:rPr>
        <w:t>A UNIVERSAL ENEMY</w:t>
      </w:r>
      <w:proofErr w:type="gramStart"/>
      <w:r w:rsidRPr="00917D2C">
        <w:rPr>
          <w:rFonts w:cs="Times New Roman"/>
          <w:sz w:val="28"/>
          <w:szCs w:val="28"/>
        </w:rPr>
        <w:t>?:</w:t>
      </w:r>
      <w:proofErr w:type="gramEnd"/>
      <w:r w:rsidR="00676EB8">
        <w:rPr>
          <w:rFonts w:cs="Times New Roman"/>
          <w:sz w:val="28"/>
          <w:szCs w:val="28"/>
        </w:rPr>
        <w:t xml:space="preserve"> LEGAL REGIMES OF EXCLUSION AND </w:t>
      </w:r>
      <w:r w:rsidRPr="00917D2C">
        <w:rPr>
          <w:rFonts w:cs="Times New Roman"/>
          <w:sz w:val="28"/>
          <w:szCs w:val="28"/>
        </w:rPr>
        <w:t>EXEMPTION UNDER THE</w:t>
      </w:r>
      <w:r w:rsidR="00676EB8">
        <w:rPr>
          <w:rFonts w:cs="Times New Roman"/>
          <w:sz w:val="28"/>
          <w:szCs w:val="28"/>
        </w:rPr>
        <w:t xml:space="preserve"> </w:t>
      </w:r>
      <w:r w:rsidRPr="00917D2C">
        <w:rPr>
          <w:rFonts w:cs="Times New Roman"/>
          <w:sz w:val="28"/>
          <w:szCs w:val="28"/>
        </w:rPr>
        <w:t>“GLOBAL WAR ON TERROR”</w:t>
      </w:r>
    </w:p>
    <w:p w:rsidR="00917D2C" w:rsidRPr="00917D2C" w:rsidRDefault="00917D2C" w:rsidP="00917D2C">
      <w:pPr>
        <w:rPr>
          <w:rFonts w:ascii="Arial" w:hAnsi="Arial" w:cs="Arial"/>
          <w:sz w:val="20"/>
          <w:szCs w:val="20"/>
        </w:rPr>
      </w:pPr>
      <w:r w:rsidRPr="00917D2C">
        <w:rPr>
          <w:rFonts w:ascii="Arial" w:hAnsi="Arial" w:cs="Arial"/>
          <w:sz w:val="20"/>
          <w:szCs w:val="20"/>
        </w:rPr>
        <w:t>DARRYL LI</w:t>
      </w:r>
      <w:r>
        <w:rPr>
          <w:rFonts w:ascii="Arial" w:hAnsi="Arial" w:cs="Arial"/>
          <w:sz w:val="20"/>
          <w:szCs w:val="20"/>
        </w:rPr>
        <w:t xml:space="preserve">, </w:t>
      </w:r>
      <w:r w:rsidRPr="00917D2C">
        <w:rPr>
          <w:rFonts w:ascii="Arial" w:hAnsi="Arial" w:cs="Arial"/>
          <w:sz w:val="20"/>
          <w:szCs w:val="20"/>
        </w:rPr>
        <w:t xml:space="preserve">Harvard University </w:t>
      </w:r>
      <w:r>
        <w:rPr>
          <w:rFonts w:ascii="Arial" w:hAnsi="Arial" w:cs="Arial"/>
          <w:sz w:val="20"/>
          <w:szCs w:val="20"/>
        </w:rPr>
        <w:t xml:space="preserve">   -   DRAFT –  </w:t>
      </w:r>
      <w:r w:rsidRPr="00917D2C">
        <w:rPr>
          <w:rFonts w:ascii="Arial" w:hAnsi="Arial" w:cs="Arial"/>
          <w:sz w:val="20"/>
          <w:szCs w:val="20"/>
        </w:rPr>
        <w:t xml:space="preserve"> August </w:t>
      </w:r>
      <w:r>
        <w:rPr>
          <w:rFonts w:ascii="Arial" w:hAnsi="Arial" w:cs="Arial"/>
          <w:sz w:val="20"/>
          <w:szCs w:val="20"/>
        </w:rPr>
        <w:t xml:space="preserve">6, </w:t>
      </w:r>
      <w:r w:rsidRPr="00917D2C">
        <w:rPr>
          <w:rFonts w:ascii="Arial" w:hAnsi="Arial" w:cs="Arial"/>
          <w:sz w:val="20"/>
          <w:szCs w:val="20"/>
        </w:rPr>
        <w:t>2009</w:t>
      </w:r>
    </w:p>
    <w:p w:rsidR="00917D2C" w:rsidRPr="00917D2C" w:rsidRDefault="00917D2C" w:rsidP="00917D2C">
      <w:pPr>
        <w:rPr>
          <w:rFonts w:ascii="Arial" w:hAnsi="Arial" w:cs="Arial"/>
          <w:sz w:val="20"/>
          <w:szCs w:val="20"/>
        </w:rPr>
      </w:pPr>
    </w:p>
    <w:p w:rsidR="00917D2C" w:rsidRDefault="00917D2C" w:rsidP="00917D2C">
      <w:pPr>
        <w:rPr>
          <w:rFonts w:ascii="Arial" w:hAnsi="Arial" w:cs="Arial"/>
          <w:sz w:val="20"/>
          <w:szCs w:val="20"/>
        </w:rPr>
      </w:pPr>
    </w:p>
    <w:p w:rsidR="00917D2C" w:rsidRDefault="00676EB8" w:rsidP="00917D2C">
      <w:pPr>
        <w:ind w:firstLine="720"/>
        <w:rPr>
          <w:rFonts w:ascii="Arial" w:hAnsi="Arial" w:cs="Arial"/>
          <w:sz w:val="20"/>
          <w:szCs w:val="20"/>
        </w:rPr>
      </w:pPr>
      <w:r>
        <w:rPr>
          <w:rFonts w:ascii="Arial" w:hAnsi="Arial" w:cs="Arial"/>
          <w:sz w:val="20"/>
          <w:szCs w:val="20"/>
        </w:rPr>
        <w:t>. . .   T</w:t>
      </w:r>
      <w:r w:rsidR="00917D2C" w:rsidRPr="00917D2C">
        <w:rPr>
          <w:rFonts w:ascii="Arial" w:hAnsi="Arial" w:cs="Arial"/>
          <w:sz w:val="20"/>
          <w:szCs w:val="20"/>
        </w:rPr>
        <w:t>he ongoing U.S.-driven “Global War on Terror”</w:t>
      </w:r>
      <w:proofErr w:type="gramStart"/>
      <w:r w:rsidR="00917D2C">
        <w:rPr>
          <w:rFonts w:ascii="Arial" w:hAnsi="Arial" w:cs="Arial"/>
          <w:sz w:val="20"/>
          <w:szCs w:val="20"/>
        </w:rPr>
        <w:t>:   . . .</w:t>
      </w:r>
      <w:proofErr w:type="gramEnd"/>
      <w:r w:rsidR="00917D2C">
        <w:rPr>
          <w:rFonts w:ascii="Arial" w:hAnsi="Arial" w:cs="Arial"/>
          <w:sz w:val="20"/>
          <w:szCs w:val="20"/>
        </w:rPr>
        <w:t xml:space="preserve">  </w:t>
      </w:r>
      <w:r w:rsidR="00917D2C" w:rsidRPr="00917D2C">
        <w:rPr>
          <w:rFonts w:ascii="Arial" w:hAnsi="Arial" w:cs="Arial"/>
          <w:sz w:val="20"/>
          <w:szCs w:val="20"/>
        </w:rPr>
        <w:t xml:space="preserve"> </w:t>
      </w:r>
      <w:r w:rsidR="00917D2C">
        <w:rPr>
          <w:rFonts w:ascii="Arial" w:hAnsi="Arial" w:cs="Arial"/>
          <w:sz w:val="20"/>
          <w:szCs w:val="20"/>
        </w:rPr>
        <w:t xml:space="preserve">  </w:t>
      </w:r>
      <w:r w:rsidR="00917D2C" w:rsidRPr="00917D2C">
        <w:rPr>
          <w:rFonts w:ascii="Arial" w:hAnsi="Arial" w:cs="Arial"/>
          <w:sz w:val="20"/>
          <w:szCs w:val="20"/>
        </w:rPr>
        <w:t>This g</w:t>
      </w:r>
      <w:r w:rsidR="00917D2C">
        <w:rPr>
          <w:rFonts w:ascii="Arial" w:hAnsi="Arial" w:cs="Arial"/>
          <w:sz w:val="20"/>
          <w:szCs w:val="20"/>
        </w:rPr>
        <w:t xml:space="preserve">lobal hunt for foreign fighters </w:t>
      </w:r>
      <w:r w:rsidR="00917D2C" w:rsidRPr="00917D2C">
        <w:rPr>
          <w:rFonts w:ascii="Arial" w:hAnsi="Arial" w:cs="Arial"/>
          <w:sz w:val="20"/>
          <w:szCs w:val="20"/>
        </w:rPr>
        <w:t>animat</w:t>
      </w:r>
      <w:r w:rsidR="00917D2C">
        <w:rPr>
          <w:rFonts w:ascii="Arial" w:hAnsi="Arial" w:cs="Arial"/>
          <w:sz w:val="20"/>
          <w:szCs w:val="20"/>
        </w:rPr>
        <w:t xml:space="preserve">es </w:t>
      </w:r>
      <w:r w:rsidR="00917D2C" w:rsidRPr="00917D2C">
        <w:rPr>
          <w:rFonts w:ascii="Arial" w:hAnsi="Arial" w:cs="Arial"/>
          <w:sz w:val="20"/>
          <w:szCs w:val="20"/>
        </w:rPr>
        <w:t>diverse attempts to exclude similarly “out of place” Mus</w:t>
      </w:r>
      <w:r w:rsidR="00917D2C">
        <w:rPr>
          <w:rFonts w:ascii="Arial" w:hAnsi="Arial" w:cs="Arial"/>
          <w:sz w:val="20"/>
          <w:szCs w:val="20"/>
        </w:rPr>
        <w:t xml:space="preserve">lim migrants and travelers from legal </w:t>
      </w:r>
      <w:r w:rsidR="00917D2C" w:rsidRPr="00917D2C">
        <w:rPr>
          <w:rFonts w:ascii="Arial" w:hAnsi="Arial" w:cs="Arial"/>
          <w:sz w:val="20"/>
          <w:szCs w:val="20"/>
        </w:rPr>
        <w:t>protection by reshaping laws and policies on interro</w:t>
      </w:r>
      <w:r w:rsidR="00917D2C">
        <w:rPr>
          <w:rFonts w:ascii="Arial" w:hAnsi="Arial" w:cs="Arial"/>
          <w:sz w:val="20"/>
          <w:szCs w:val="20"/>
        </w:rPr>
        <w:t xml:space="preserve">gation, detention, immigration, and citizenship. </w:t>
      </w:r>
      <w:r w:rsidR="00917D2C" w:rsidRPr="00917D2C">
        <w:rPr>
          <w:rFonts w:ascii="Arial" w:hAnsi="Arial" w:cs="Arial"/>
          <w:sz w:val="20"/>
          <w:szCs w:val="20"/>
        </w:rPr>
        <w:t>Yet at the same time, certain other outsiders – namely the</w:t>
      </w:r>
      <w:r w:rsidR="00917D2C">
        <w:rPr>
          <w:rFonts w:ascii="Arial" w:hAnsi="Arial" w:cs="Arial"/>
          <w:sz w:val="20"/>
          <w:szCs w:val="20"/>
        </w:rPr>
        <w:t xml:space="preserve"> U.S. and its allies – enjoy various </w:t>
      </w:r>
      <w:r w:rsidR="00917D2C" w:rsidRPr="00917D2C">
        <w:rPr>
          <w:rFonts w:ascii="Arial" w:hAnsi="Arial" w:cs="Arial"/>
          <w:sz w:val="20"/>
          <w:szCs w:val="20"/>
        </w:rPr>
        <w:t>forms of exemption f</w:t>
      </w:r>
      <w:r w:rsidR="00917D2C">
        <w:rPr>
          <w:rFonts w:ascii="Arial" w:hAnsi="Arial" w:cs="Arial"/>
          <w:sz w:val="20"/>
          <w:szCs w:val="20"/>
        </w:rPr>
        <w:t>rom local legal accountability.</w:t>
      </w:r>
    </w:p>
    <w:p w:rsidR="00917D2C" w:rsidRDefault="00917D2C" w:rsidP="00917D2C">
      <w:pPr>
        <w:ind w:firstLine="720"/>
        <w:rPr>
          <w:rFonts w:ascii="Arial" w:hAnsi="Arial" w:cs="Arial"/>
          <w:sz w:val="20"/>
          <w:szCs w:val="20"/>
        </w:rPr>
      </w:pPr>
    </w:p>
    <w:p w:rsidR="004327FD" w:rsidRDefault="00917D2C" w:rsidP="00917D2C">
      <w:pPr>
        <w:ind w:firstLine="720"/>
        <w:rPr>
          <w:rFonts w:ascii="Arial" w:hAnsi="Arial" w:cs="Arial"/>
          <w:sz w:val="20"/>
          <w:szCs w:val="20"/>
        </w:rPr>
      </w:pPr>
      <w:r>
        <w:rPr>
          <w:rFonts w:ascii="Arial" w:hAnsi="Arial" w:cs="Arial"/>
          <w:sz w:val="20"/>
          <w:szCs w:val="20"/>
        </w:rPr>
        <w:t xml:space="preserve">This essay </w:t>
      </w:r>
      <w:r w:rsidRPr="00917D2C">
        <w:rPr>
          <w:rFonts w:ascii="Arial" w:hAnsi="Arial" w:cs="Arial"/>
          <w:sz w:val="20"/>
          <w:szCs w:val="20"/>
        </w:rPr>
        <w:t>illustrates this braided logic of exclusion and exempt</w:t>
      </w:r>
      <w:r>
        <w:rPr>
          <w:rFonts w:ascii="Arial" w:hAnsi="Arial" w:cs="Arial"/>
          <w:sz w:val="20"/>
          <w:szCs w:val="20"/>
        </w:rPr>
        <w:t xml:space="preserve">ion by juxtaposing the problems of </w:t>
      </w:r>
      <w:r w:rsidRPr="00917D2C">
        <w:rPr>
          <w:rFonts w:ascii="Arial" w:hAnsi="Arial" w:cs="Arial"/>
          <w:sz w:val="20"/>
          <w:szCs w:val="20"/>
        </w:rPr>
        <w:t>extraordinary rendition and military contractor impunity in both po</w:t>
      </w:r>
      <w:r>
        <w:rPr>
          <w:rFonts w:ascii="Arial" w:hAnsi="Arial" w:cs="Arial"/>
          <w:sz w:val="20"/>
          <w:szCs w:val="20"/>
        </w:rPr>
        <w:t xml:space="preserve">st-war Bosnia-Herzegovina and post </w:t>
      </w:r>
      <w:r w:rsidRPr="00917D2C">
        <w:rPr>
          <w:rFonts w:ascii="Arial" w:hAnsi="Arial" w:cs="Arial"/>
          <w:sz w:val="20"/>
          <w:szCs w:val="20"/>
        </w:rPr>
        <w:t>invasion Iraq. This framework –</w:t>
      </w:r>
      <w:r>
        <w:rPr>
          <w:rFonts w:ascii="Arial" w:hAnsi="Arial" w:cs="Arial"/>
          <w:sz w:val="20"/>
          <w:szCs w:val="20"/>
        </w:rPr>
        <w:t xml:space="preserve"> which predates and will likely </w:t>
      </w:r>
      <w:r w:rsidRPr="00917D2C">
        <w:rPr>
          <w:rFonts w:ascii="Arial" w:hAnsi="Arial" w:cs="Arial"/>
          <w:sz w:val="20"/>
          <w:szCs w:val="20"/>
        </w:rPr>
        <w:t>ou</w:t>
      </w:r>
      <w:r>
        <w:rPr>
          <w:rFonts w:ascii="Arial" w:hAnsi="Arial" w:cs="Arial"/>
          <w:sz w:val="20"/>
          <w:szCs w:val="20"/>
        </w:rPr>
        <w:t xml:space="preserve">tlast the Bush administration undermines </w:t>
      </w:r>
      <w:r w:rsidRPr="00917D2C">
        <w:rPr>
          <w:rFonts w:ascii="Arial" w:hAnsi="Arial" w:cs="Arial"/>
          <w:sz w:val="20"/>
          <w:szCs w:val="20"/>
        </w:rPr>
        <w:t>the rule of</w:t>
      </w:r>
      <w:r>
        <w:rPr>
          <w:rFonts w:ascii="Arial" w:hAnsi="Arial" w:cs="Arial"/>
          <w:sz w:val="20"/>
          <w:szCs w:val="20"/>
        </w:rPr>
        <w:t xml:space="preserve"> law and state-building efforts </w:t>
      </w:r>
      <w:r w:rsidRPr="00917D2C">
        <w:rPr>
          <w:rFonts w:ascii="Arial" w:hAnsi="Arial" w:cs="Arial"/>
          <w:sz w:val="20"/>
          <w:szCs w:val="20"/>
        </w:rPr>
        <w:t>and occludes crucial questions su</w:t>
      </w:r>
      <w:r>
        <w:rPr>
          <w:rFonts w:ascii="Arial" w:hAnsi="Arial" w:cs="Arial"/>
          <w:sz w:val="20"/>
          <w:szCs w:val="20"/>
        </w:rPr>
        <w:t xml:space="preserve">rrounding the legitimacy of how </w:t>
      </w:r>
      <w:r w:rsidRPr="00917D2C">
        <w:rPr>
          <w:rFonts w:ascii="Arial" w:hAnsi="Arial" w:cs="Arial"/>
          <w:sz w:val="20"/>
          <w:szCs w:val="20"/>
        </w:rPr>
        <w:t>U.S.</w:t>
      </w:r>
      <w:r>
        <w:rPr>
          <w:rFonts w:ascii="Arial" w:hAnsi="Arial" w:cs="Arial"/>
          <w:sz w:val="20"/>
          <w:szCs w:val="20"/>
        </w:rPr>
        <w:t xml:space="preserve"> global power is </w:t>
      </w:r>
      <w:r w:rsidRPr="00917D2C">
        <w:rPr>
          <w:rFonts w:ascii="Arial" w:hAnsi="Arial" w:cs="Arial"/>
          <w:sz w:val="20"/>
          <w:szCs w:val="20"/>
        </w:rPr>
        <w:t>exercised.</w:t>
      </w:r>
      <w:r>
        <w:rPr>
          <w:rFonts w:ascii="Arial" w:hAnsi="Arial" w:cs="Arial"/>
          <w:sz w:val="20"/>
          <w:szCs w:val="20"/>
        </w:rPr>
        <w:t xml:space="preserve">   . . .</w:t>
      </w:r>
    </w:p>
    <w:p w:rsidR="00676EB8" w:rsidRDefault="00676EB8" w:rsidP="00917D2C">
      <w:pPr>
        <w:ind w:firstLine="720"/>
        <w:rPr>
          <w:rFonts w:ascii="Arial" w:hAnsi="Arial" w:cs="Arial"/>
          <w:sz w:val="20"/>
          <w:szCs w:val="20"/>
        </w:rPr>
      </w:pPr>
    </w:p>
    <w:p w:rsidR="00676EB8" w:rsidRDefault="00676EB8" w:rsidP="00917D2C">
      <w:pPr>
        <w:ind w:firstLine="720"/>
        <w:rPr>
          <w:rFonts w:ascii="Arial" w:hAnsi="Arial" w:cs="Arial"/>
          <w:sz w:val="20"/>
          <w:szCs w:val="20"/>
        </w:rPr>
      </w:pPr>
    </w:p>
    <w:p w:rsidR="00676EB8" w:rsidRDefault="00676EB8" w:rsidP="00676EB8">
      <w:pPr>
        <w:ind w:firstLine="720"/>
        <w:rPr>
          <w:rFonts w:ascii="Arial" w:hAnsi="Arial" w:cs="Arial"/>
          <w:sz w:val="20"/>
          <w:szCs w:val="20"/>
        </w:rPr>
      </w:pPr>
      <w:r>
        <w:rPr>
          <w:rFonts w:ascii="Arial" w:hAnsi="Arial" w:cs="Arial"/>
          <w:sz w:val="20"/>
          <w:szCs w:val="20"/>
        </w:rPr>
        <w:t xml:space="preserve">. . .    </w:t>
      </w:r>
      <w:r w:rsidRPr="00676EB8">
        <w:rPr>
          <w:rFonts w:ascii="Arial" w:hAnsi="Arial" w:cs="Arial"/>
          <w:sz w:val="20"/>
          <w:szCs w:val="20"/>
        </w:rPr>
        <w:t>The structural logic of the American-led Global War on Terror is one that ultimately</w:t>
      </w:r>
      <w:r>
        <w:rPr>
          <w:rFonts w:ascii="Arial" w:hAnsi="Arial" w:cs="Arial"/>
          <w:sz w:val="20"/>
          <w:szCs w:val="20"/>
        </w:rPr>
        <w:t xml:space="preserve"> seeks to </w:t>
      </w:r>
      <w:r w:rsidRPr="00676EB8">
        <w:rPr>
          <w:rFonts w:ascii="Arial" w:hAnsi="Arial" w:cs="Arial"/>
          <w:sz w:val="20"/>
          <w:szCs w:val="20"/>
        </w:rPr>
        <w:t>decide for other countries which outsiders shou</w:t>
      </w:r>
      <w:r>
        <w:rPr>
          <w:rFonts w:ascii="Arial" w:hAnsi="Arial" w:cs="Arial"/>
          <w:sz w:val="20"/>
          <w:szCs w:val="20"/>
        </w:rPr>
        <w:t>ld be outside the law and which should be above it.</w:t>
      </w:r>
    </w:p>
    <w:p w:rsidR="00676EB8" w:rsidRDefault="00676EB8" w:rsidP="00676EB8">
      <w:pPr>
        <w:ind w:firstLine="720"/>
        <w:rPr>
          <w:rFonts w:ascii="Arial" w:hAnsi="Arial" w:cs="Arial"/>
          <w:sz w:val="20"/>
          <w:szCs w:val="20"/>
        </w:rPr>
      </w:pPr>
    </w:p>
    <w:p w:rsidR="00676EB8" w:rsidRDefault="00676EB8" w:rsidP="00676EB8">
      <w:pPr>
        <w:ind w:firstLine="720"/>
        <w:rPr>
          <w:rFonts w:ascii="Arial" w:hAnsi="Arial" w:cs="Arial"/>
          <w:sz w:val="20"/>
          <w:szCs w:val="20"/>
        </w:rPr>
      </w:pPr>
      <w:r w:rsidRPr="00676EB8">
        <w:rPr>
          <w:rFonts w:ascii="Arial" w:hAnsi="Arial" w:cs="Arial"/>
          <w:sz w:val="20"/>
          <w:szCs w:val="20"/>
        </w:rPr>
        <w:t>As this conflict enters a new and what has been promised as a m</w:t>
      </w:r>
      <w:r>
        <w:rPr>
          <w:rFonts w:ascii="Arial" w:hAnsi="Arial" w:cs="Arial"/>
          <w:sz w:val="20"/>
          <w:szCs w:val="20"/>
        </w:rPr>
        <w:t xml:space="preserve">ore enlightened stage, </w:t>
      </w:r>
      <w:r w:rsidRPr="00676EB8">
        <w:rPr>
          <w:rFonts w:ascii="Arial" w:hAnsi="Arial" w:cs="Arial"/>
          <w:sz w:val="20"/>
          <w:szCs w:val="20"/>
        </w:rPr>
        <w:t>understanding its fundamental premi</w:t>
      </w:r>
      <w:r>
        <w:rPr>
          <w:rFonts w:ascii="Arial" w:hAnsi="Arial" w:cs="Arial"/>
          <w:sz w:val="20"/>
          <w:szCs w:val="20"/>
        </w:rPr>
        <w:t xml:space="preserve">ses – as opposed to its </w:t>
      </w:r>
      <w:proofErr w:type="spellStart"/>
      <w:r>
        <w:rPr>
          <w:rFonts w:ascii="Arial" w:hAnsi="Arial" w:cs="Arial"/>
          <w:sz w:val="20"/>
          <w:szCs w:val="20"/>
        </w:rPr>
        <w:t>Bushian</w:t>
      </w:r>
      <w:proofErr w:type="spellEnd"/>
      <w:r>
        <w:rPr>
          <w:rFonts w:ascii="Arial" w:hAnsi="Arial" w:cs="Arial"/>
          <w:sz w:val="20"/>
          <w:szCs w:val="20"/>
        </w:rPr>
        <w:t xml:space="preserve"> </w:t>
      </w:r>
      <w:r w:rsidRPr="00676EB8">
        <w:rPr>
          <w:rFonts w:ascii="Arial" w:hAnsi="Arial" w:cs="Arial"/>
          <w:sz w:val="20"/>
          <w:szCs w:val="20"/>
        </w:rPr>
        <w:t>exce</w:t>
      </w:r>
      <w:r>
        <w:rPr>
          <w:rFonts w:ascii="Arial" w:hAnsi="Arial" w:cs="Arial"/>
          <w:sz w:val="20"/>
          <w:szCs w:val="20"/>
        </w:rPr>
        <w:t xml:space="preserve">sses – is as crucial as ever to </w:t>
      </w:r>
      <w:r w:rsidRPr="00676EB8">
        <w:rPr>
          <w:rFonts w:ascii="Arial" w:hAnsi="Arial" w:cs="Arial"/>
          <w:sz w:val="20"/>
          <w:szCs w:val="20"/>
        </w:rPr>
        <w:t xml:space="preserve">the twin tasks of critique and action. </w:t>
      </w:r>
      <w:r>
        <w:rPr>
          <w:rFonts w:ascii="Arial" w:hAnsi="Arial" w:cs="Arial"/>
          <w:sz w:val="20"/>
          <w:szCs w:val="20"/>
        </w:rPr>
        <w:t xml:space="preserve">   . . </w:t>
      </w:r>
    </w:p>
    <w:p w:rsidR="00676EB8" w:rsidRDefault="00676EB8" w:rsidP="00676EB8">
      <w:pPr>
        <w:ind w:firstLine="720"/>
        <w:rPr>
          <w:rFonts w:ascii="Arial" w:hAnsi="Arial" w:cs="Arial"/>
          <w:sz w:val="20"/>
          <w:szCs w:val="20"/>
        </w:rPr>
      </w:pPr>
    </w:p>
    <w:p w:rsidR="00676EB8" w:rsidRPr="00676EB8" w:rsidRDefault="00676EB8" w:rsidP="00676EB8">
      <w:pPr>
        <w:ind w:firstLine="720"/>
        <w:rPr>
          <w:rFonts w:ascii="Arial" w:hAnsi="Arial" w:cs="Arial"/>
          <w:sz w:val="20"/>
          <w:szCs w:val="20"/>
        </w:rPr>
      </w:pPr>
    </w:p>
    <w:p w:rsidR="00676EB8" w:rsidRDefault="00676EB8" w:rsidP="00676EB8">
      <w:pPr>
        <w:ind w:firstLine="720"/>
        <w:rPr>
          <w:rFonts w:ascii="Arial" w:hAnsi="Arial" w:cs="Arial"/>
          <w:sz w:val="20"/>
          <w:szCs w:val="20"/>
        </w:rPr>
      </w:pPr>
      <w:r>
        <w:rPr>
          <w:rFonts w:ascii="Arial" w:hAnsi="Arial" w:cs="Arial"/>
          <w:sz w:val="20"/>
          <w:szCs w:val="20"/>
        </w:rPr>
        <w:t>. . .   U</w:t>
      </w:r>
      <w:r w:rsidRPr="00676EB8">
        <w:rPr>
          <w:rFonts w:ascii="Arial" w:hAnsi="Arial" w:cs="Arial"/>
          <w:sz w:val="20"/>
          <w:szCs w:val="20"/>
        </w:rPr>
        <w:t>nlawful detention, deportation, and</w:t>
      </w:r>
      <w:r>
        <w:rPr>
          <w:rFonts w:ascii="Arial" w:hAnsi="Arial" w:cs="Arial"/>
          <w:sz w:val="20"/>
          <w:szCs w:val="20"/>
        </w:rPr>
        <w:t xml:space="preserve"> </w:t>
      </w:r>
      <w:r w:rsidRPr="00676EB8">
        <w:rPr>
          <w:rFonts w:ascii="Arial" w:hAnsi="Arial" w:cs="Arial"/>
          <w:sz w:val="20"/>
          <w:szCs w:val="20"/>
        </w:rPr>
        <w:t>torture for some and impu</w:t>
      </w:r>
      <w:r>
        <w:rPr>
          <w:rFonts w:ascii="Arial" w:hAnsi="Arial" w:cs="Arial"/>
          <w:sz w:val="20"/>
          <w:szCs w:val="20"/>
        </w:rPr>
        <w:t xml:space="preserve">nity for others – are obviously deeply troubling for both the </w:t>
      </w:r>
      <w:r w:rsidRPr="00676EB8">
        <w:rPr>
          <w:rFonts w:ascii="Arial" w:hAnsi="Arial" w:cs="Arial"/>
          <w:sz w:val="20"/>
          <w:szCs w:val="20"/>
        </w:rPr>
        <w:t>procedural as well as the substantive asp</w:t>
      </w:r>
      <w:r>
        <w:rPr>
          <w:rFonts w:ascii="Arial" w:hAnsi="Arial" w:cs="Arial"/>
          <w:sz w:val="20"/>
          <w:szCs w:val="20"/>
        </w:rPr>
        <w:t xml:space="preserve">ects of the rule of law, to say nothing of the fate of victims. </w:t>
      </w:r>
      <w:r w:rsidRPr="00676EB8">
        <w:rPr>
          <w:rFonts w:ascii="Arial" w:hAnsi="Arial" w:cs="Arial"/>
          <w:sz w:val="20"/>
          <w:szCs w:val="20"/>
        </w:rPr>
        <w:t>It is their juxtaposition, however, which rai</w:t>
      </w:r>
      <w:r>
        <w:rPr>
          <w:rFonts w:ascii="Arial" w:hAnsi="Arial" w:cs="Arial"/>
          <w:sz w:val="20"/>
          <w:szCs w:val="20"/>
        </w:rPr>
        <w:t xml:space="preserve">ses the more complex questions: while discrimination </w:t>
      </w:r>
      <w:r w:rsidRPr="00676EB8">
        <w:rPr>
          <w:rFonts w:ascii="Arial" w:hAnsi="Arial" w:cs="Arial"/>
          <w:sz w:val="20"/>
          <w:szCs w:val="20"/>
        </w:rPr>
        <w:t>between citizens is widely seen as violating a fundam</w:t>
      </w:r>
      <w:r>
        <w:rPr>
          <w:rFonts w:ascii="Arial" w:hAnsi="Arial" w:cs="Arial"/>
          <w:sz w:val="20"/>
          <w:szCs w:val="20"/>
        </w:rPr>
        <w:t xml:space="preserve">ental principle </w:t>
      </w:r>
      <w:r w:rsidRPr="00676EB8">
        <w:rPr>
          <w:rFonts w:ascii="Arial" w:hAnsi="Arial" w:cs="Arial"/>
          <w:sz w:val="20"/>
          <w:szCs w:val="20"/>
        </w:rPr>
        <w:t>of e</w:t>
      </w:r>
      <w:r>
        <w:rPr>
          <w:rFonts w:ascii="Arial" w:hAnsi="Arial" w:cs="Arial"/>
          <w:sz w:val="20"/>
          <w:szCs w:val="20"/>
        </w:rPr>
        <w:t xml:space="preserve">quality, differential treatment </w:t>
      </w:r>
      <w:r w:rsidRPr="00676EB8">
        <w:rPr>
          <w:rFonts w:ascii="Arial" w:hAnsi="Arial" w:cs="Arial"/>
          <w:sz w:val="20"/>
          <w:szCs w:val="20"/>
        </w:rPr>
        <w:t>amongst non-citizens is not as obviously impermissible.</w:t>
      </w:r>
    </w:p>
    <w:p w:rsidR="00676EB8" w:rsidRPr="00676EB8" w:rsidRDefault="00676EB8" w:rsidP="00676EB8">
      <w:pPr>
        <w:ind w:firstLine="720"/>
        <w:rPr>
          <w:rFonts w:ascii="Arial" w:hAnsi="Arial" w:cs="Arial"/>
          <w:sz w:val="20"/>
          <w:szCs w:val="20"/>
        </w:rPr>
      </w:pPr>
    </w:p>
    <w:p w:rsidR="00676EB8" w:rsidRDefault="00676EB8" w:rsidP="00676EB8">
      <w:pPr>
        <w:ind w:firstLine="720"/>
        <w:rPr>
          <w:rFonts w:ascii="Arial" w:hAnsi="Arial" w:cs="Arial"/>
          <w:sz w:val="20"/>
          <w:szCs w:val="20"/>
        </w:rPr>
      </w:pPr>
      <w:r w:rsidRPr="00676EB8">
        <w:rPr>
          <w:rFonts w:ascii="Arial" w:hAnsi="Arial" w:cs="Arial"/>
          <w:sz w:val="20"/>
          <w:szCs w:val="20"/>
        </w:rPr>
        <w:t>Yet in certain extreme situations (such as those illustrated in this paper), it raises</w:t>
      </w:r>
      <w:r>
        <w:rPr>
          <w:rFonts w:ascii="Arial" w:hAnsi="Arial" w:cs="Arial"/>
          <w:sz w:val="20"/>
          <w:szCs w:val="20"/>
        </w:rPr>
        <w:t xml:space="preserve"> disturbing and </w:t>
      </w:r>
      <w:r w:rsidRPr="00676EB8">
        <w:rPr>
          <w:rFonts w:ascii="Arial" w:hAnsi="Arial" w:cs="Arial"/>
          <w:sz w:val="20"/>
          <w:szCs w:val="20"/>
        </w:rPr>
        <w:t>important questions about who should decide</w:t>
      </w:r>
      <w:r>
        <w:rPr>
          <w:rFonts w:ascii="Arial" w:hAnsi="Arial" w:cs="Arial"/>
          <w:sz w:val="20"/>
          <w:szCs w:val="20"/>
        </w:rPr>
        <w:t xml:space="preserve"> on the distinctions between outsiders, and with which </w:t>
      </w:r>
      <w:r w:rsidRPr="00676EB8">
        <w:rPr>
          <w:rFonts w:ascii="Arial" w:hAnsi="Arial" w:cs="Arial"/>
          <w:sz w:val="20"/>
          <w:szCs w:val="20"/>
        </w:rPr>
        <w:t>criteria. Such questions canno</w:t>
      </w:r>
      <w:r>
        <w:rPr>
          <w:rFonts w:ascii="Arial" w:hAnsi="Arial" w:cs="Arial"/>
          <w:sz w:val="20"/>
          <w:szCs w:val="20"/>
        </w:rPr>
        <w:t xml:space="preserve">t be resolved in any particular </w:t>
      </w:r>
      <w:r w:rsidRPr="00676EB8">
        <w:rPr>
          <w:rFonts w:ascii="Arial" w:hAnsi="Arial" w:cs="Arial"/>
          <w:sz w:val="20"/>
          <w:szCs w:val="20"/>
        </w:rPr>
        <w:t>case, how</w:t>
      </w:r>
      <w:r>
        <w:rPr>
          <w:rFonts w:ascii="Arial" w:hAnsi="Arial" w:cs="Arial"/>
          <w:sz w:val="20"/>
          <w:szCs w:val="20"/>
        </w:rPr>
        <w:t xml:space="preserve">ever, for two reasons that also arise from the logic of GWOT. </w:t>
      </w:r>
      <w:r w:rsidRPr="00676EB8">
        <w:rPr>
          <w:rFonts w:ascii="Arial" w:hAnsi="Arial" w:cs="Arial"/>
          <w:sz w:val="20"/>
          <w:szCs w:val="20"/>
        </w:rPr>
        <w:t>First, institutionally, outcomes concerning citizenship, nationality</w:t>
      </w:r>
      <w:r>
        <w:rPr>
          <w:rFonts w:ascii="Arial" w:hAnsi="Arial" w:cs="Arial"/>
          <w:sz w:val="20"/>
          <w:szCs w:val="20"/>
        </w:rPr>
        <w:t xml:space="preserve">, and </w:t>
      </w:r>
      <w:r w:rsidRPr="00676EB8">
        <w:rPr>
          <w:rFonts w:ascii="Arial" w:hAnsi="Arial" w:cs="Arial"/>
          <w:sz w:val="20"/>
          <w:szCs w:val="20"/>
        </w:rPr>
        <w:t>immigration in places such as Iraq and Bosnia-Her</w:t>
      </w:r>
      <w:r>
        <w:rPr>
          <w:rFonts w:ascii="Arial" w:hAnsi="Arial" w:cs="Arial"/>
          <w:sz w:val="20"/>
          <w:szCs w:val="20"/>
        </w:rPr>
        <w:t xml:space="preserve">zegovina cannot be evaluated as ordinary sovereign </w:t>
      </w:r>
      <w:r w:rsidRPr="00676EB8">
        <w:rPr>
          <w:rFonts w:ascii="Arial" w:hAnsi="Arial" w:cs="Arial"/>
          <w:sz w:val="20"/>
          <w:szCs w:val="20"/>
        </w:rPr>
        <w:t>decisions because of how the U.S. ha</w:t>
      </w:r>
      <w:r>
        <w:rPr>
          <w:rFonts w:ascii="Arial" w:hAnsi="Arial" w:cs="Arial"/>
          <w:sz w:val="20"/>
          <w:szCs w:val="20"/>
        </w:rPr>
        <w:t xml:space="preserve">s subordinated these countries’ </w:t>
      </w:r>
      <w:r w:rsidRPr="00676EB8">
        <w:rPr>
          <w:rFonts w:ascii="Arial" w:hAnsi="Arial" w:cs="Arial"/>
          <w:sz w:val="20"/>
          <w:szCs w:val="20"/>
        </w:rPr>
        <w:t xml:space="preserve">institutions to its own priorities. </w:t>
      </w:r>
      <w:r>
        <w:rPr>
          <w:rFonts w:ascii="Arial" w:hAnsi="Arial" w:cs="Arial"/>
          <w:sz w:val="20"/>
          <w:szCs w:val="20"/>
        </w:rPr>
        <w:t xml:space="preserve">  . . .  </w:t>
      </w:r>
    </w:p>
    <w:p w:rsidR="00676EB8" w:rsidRDefault="00676EB8" w:rsidP="00676EB8">
      <w:pPr>
        <w:ind w:firstLine="720"/>
        <w:rPr>
          <w:rFonts w:ascii="Arial" w:hAnsi="Arial" w:cs="Arial"/>
          <w:sz w:val="20"/>
          <w:szCs w:val="20"/>
        </w:rPr>
      </w:pPr>
    </w:p>
    <w:p w:rsidR="00676EB8" w:rsidRDefault="00676EB8" w:rsidP="00676EB8">
      <w:pPr>
        <w:ind w:firstLine="720"/>
        <w:rPr>
          <w:rFonts w:ascii="Arial" w:hAnsi="Arial" w:cs="Arial"/>
          <w:sz w:val="20"/>
          <w:szCs w:val="20"/>
        </w:rPr>
      </w:pPr>
      <w:r w:rsidRPr="00676EB8">
        <w:rPr>
          <w:rFonts w:ascii="Arial" w:hAnsi="Arial" w:cs="Arial"/>
          <w:sz w:val="20"/>
          <w:szCs w:val="20"/>
        </w:rPr>
        <w:t xml:space="preserve">Second, at a deeper level, evaluating the braided logic of exemption </w:t>
      </w:r>
      <w:r>
        <w:rPr>
          <w:rFonts w:ascii="Arial" w:hAnsi="Arial" w:cs="Arial"/>
          <w:sz w:val="20"/>
          <w:szCs w:val="20"/>
        </w:rPr>
        <w:t xml:space="preserve">and exclusion requires a critique of </w:t>
      </w:r>
      <w:r w:rsidRPr="00676EB8">
        <w:rPr>
          <w:rFonts w:ascii="Arial" w:hAnsi="Arial" w:cs="Arial"/>
          <w:sz w:val="20"/>
          <w:szCs w:val="20"/>
        </w:rPr>
        <w:t xml:space="preserve">its basic assumption, namely </w:t>
      </w:r>
      <w:r>
        <w:rPr>
          <w:rFonts w:ascii="Arial" w:hAnsi="Arial" w:cs="Arial"/>
          <w:sz w:val="20"/>
          <w:szCs w:val="20"/>
        </w:rPr>
        <w:t xml:space="preserve">that the U.S. can decide on the </w:t>
      </w:r>
      <w:r w:rsidRPr="00676EB8">
        <w:rPr>
          <w:rFonts w:ascii="Arial" w:hAnsi="Arial" w:cs="Arial"/>
          <w:sz w:val="20"/>
          <w:szCs w:val="20"/>
        </w:rPr>
        <w:t>differ</w:t>
      </w:r>
      <w:r>
        <w:rPr>
          <w:rFonts w:ascii="Arial" w:hAnsi="Arial" w:cs="Arial"/>
          <w:sz w:val="20"/>
          <w:szCs w:val="20"/>
        </w:rPr>
        <w:t xml:space="preserve">ences between others because it </w:t>
      </w:r>
      <w:r w:rsidRPr="00676EB8">
        <w:rPr>
          <w:rFonts w:ascii="Arial" w:hAnsi="Arial" w:cs="Arial"/>
          <w:sz w:val="20"/>
          <w:szCs w:val="20"/>
        </w:rPr>
        <w:t>occupies the positio</w:t>
      </w:r>
      <w:r>
        <w:rPr>
          <w:rFonts w:ascii="Arial" w:hAnsi="Arial" w:cs="Arial"/>
          <w:sz w:val="20"/>
          <w:szCs w:val="20"/>
        </w:rPr>
        <w:t xml:space="preserve">n of the universal. This stance </w:t>
      </w:r>
      <w:r w:rsidRPr="00676EB8">
        <w:rPr>
          <w:rFonts w:ascii="Arial" w:hAnsi="Arial" w:cs="Arial"/>
          <w:sz w:val="20"/>
          <w:szCs w:val="20"/>
        </w:rPr>
        <w:t>eff</w:t>
      </w:r>
      <w:r>
        <w:rPr>
          <w:rFonts w:ascii="Arial" w:hAnsi="Arial" w:cs="Arial"/>
          <w:sz w:val="20"/>
          <w:szCs w:val="20"/>
        </w:rPr>
        <w:t xml:space="preserve">ectively forecloses any serious </w:t>
      </w:r>
      <w:r w:rsidRPr="00676EB8">
        <w:rPr>
          <w:rFonts w:ascii="Arial" w:hAnsi="Arial" w:cs="Arial"/>
          <w:sz w:val="20"/>
          <w:szCs w:val="20"/>
        </w:rPr>
        <w:t xml:space="preserve">comparative analysis between the </w:t>
      </w:r>
      <w:r>
        <w:rPr>
          <w:rFonts w:ascii="Arial" w:hAnsi="Arial" w:cs="Arial"/>
          <w:sz w:val="20"/>
          <w:szCs w:val="20"/>
        </w:rPr>
        <w:t xml:space="preserve">actions of the U.S. </w:t>
      </w:r>
      <w:r w:rsidRPr="00676EB8">
        <w:rPr>
          <w:rFonts w:ascii="Arial" w:hAnsi="Arial" w:cs="Arial"/>
          <w:sz w:val="20"/>
          <w:szCs w:val="20"/>
        </w:rPr>
        <w:t>and those of othe</w:t>
      </w:r>
      <w:r>
        <w:rPr>
          <w:rFonts w:ascii="Arial" w:hAnsi="Arial" w:cs="Arial"/>
          <w:sz w:val="20"/>
          <w:szCs w:val="20"/>
        </w:rPr>
        <w:t xml:space="preserve">r outsiders. Acknowledging this </w:t>
      </w:r>
      <w:r w:rsidRPr="00676EB8">
        <w:rPr>
          <w:rFonts w:ascii="Arial" w:hAnsi="Arial" w:cs="Arial"/>
          <w:sz w:val="20"/>
          <w:szCs w:val="20"/>
        </w:rPr>
        <w:t>has noth</w:t>
      </w:r>
      <w:r>
        <w:rPr>
          <w:rFonts w:ascii="Arial" w:hAnsi="Arial" w:cs="Arial"/>
          <w:sz w:val="20"/>
          <w:szCs w:val="20"/>
        </w:rPr>
        <w:t xml:space="preserve">ing to do with moral relativism </w:t>
      </w:r>
      <w:r w:rsidRPr="00676EB8">
        <w:rPr>
          <w:rFonts w:ascii="Arial" w:hAnsi="Arial" w:cs="Arial"/>
          <w:sz w:val="20"/>
          <w:szCs w:val="20"/>
        </w:rPr>
        <w:t>or “equivalency” with “terrorists”; i</w:t>
      </w:r>
      <w:r>
        <w:rPr>
          <w:rFonts w:ascii="Arial" w:hAnsi="Arial" w:cs="Arial"/>
          <w:sz w:val="20"/>
          <w:szCs w:val="20"/>
        </w:rPr>
        <w:t xml:space="preserve">t is simply a reminder that the views of others are an </w:t>
      </w:r>
      <w:r w:rsidRPr="00676EB8">
        <w:rPr>
          <w:rFonts w:ascii="Arial" w:hAnsi="Arial" w:cs="Arial"/>
          <w:sz w:val="20"/>
          <w:szCs w:val="20"/>
        </w:rPr>
        <w:t>important part of the empirical world that must be prop</w:t>
      </w:r>
      <w:r>
        <w:rPr>
          <w:rFonts w:ascii="Arial" w:hAnsi="Arial" w:cs="Arial"/>
          <w:sz w:val="20"/>
          <w:szCs w:val="20"/>
        </w:rPr>
        <w:t>erly understood.</w:t>
      </w:r>
    </w:p>
    <w:p w:rsidR="00676EB8" w:rsidRDefault="00676EB8" w:rsidP="00676EB8">
      <w:pPr>
        <w:ind w:firstLine="720"/>
        <w:rPr>
          <w:rFonts w:ascii="Arial" w:hAnsi="Arial" w:cs="Arial"/>
          <w:sz w:val="20"/>
          <w:szCs w:val="20"/>
        </w:rPr>
      </w:pPr>
    </w:p>
    <w:p w:rsidR="00676EB8" w:rsidRDefault="00676EB8" w:rsidP="00676EB8">
      <w:pPr>
        <w:ind w:firstLine="720"/>
        <w:rPr>
          <w:rFonts w:ascii="Arial" w:hAnsi="Arial" w:cs="Arial"/>
          <w:sz w:val="20"/>
          <w:szCs w:val="20"/>
        </w:rPr>
      </w:pPr>
      <w:r>
        <w:rPr>
          <w:rFonts w:ascii="Arial" w:hAnsi="Arial" w:cs="Arial"/>
          <w:sz w:val="20"/>
          <w:szCs w:val="20"/>
        </w:rPr>
        <w:t xml:space="preserve">The rhetoric of </w:t>
      </w:r>
      <w:r w:rsidRPr="00676EB8">
        <w:rPr>
          <w:rFonts w:ascii="Arial" w:hAnsi="Arial" w:cs="Arial"/>
          <w:sz w:val="20"/>
          <w:szCs w:val="20"/>
        </w:rPr>
        <w:t xml:space="preserve">GWOT, with its repeated invocation of the </w:t>
      </w:r>
      <w:r>
        <w:rPr>
          <w:rFonts w:ascii="Arial" w:hAnsi="Arial" w:cs="Arial"/>
          <w:sz w:val="20"/>
          <w:szCs w:val="20"/>
        </w:rPr>
        <w:t xml:space="preserve">need to win “hearts and minds,” appears to </w:t>
      </w:r>
      <w:r w:rsidRPr="00676EB8">
        <w:rPr>
          <w:rFonts w:ascii="Arial" w:hAnsi="Arial" w:cs="Arial"/>
          <w:sz w:val="20"/>
          <w:szCs w:val="20"/>
        </w:rPr>
        <w:t>recognize this, in presenting people around the world wi</w:t>
      </w:r>
      <w:r>
        <w:rPr>
          <w:rFonts w:ascii="Arial" w:hAnsi="Arial" w:cs="Arial"/>
          <w:sz w:val="20"/>
          <w:szCs w:val="20"/>
        </w:rPr>
        <w:t xml:space="preserve">th a choice between essentially </w:t>
      </w:r>
      <w:r w:rsidRPr="00676EB8">
        <w:rPr>
          <w:rFonts w:ascii="Arial" w:hAnsi="Arial" w:cs="Arial"/>
          <w:sz w:val="20"/>
          <w:szCs w:val="20"/>
        </w:rPr>
        <w:t>competing offers of solidarity from the U.S. versus fr</w:t>
      </w:r>
      <w:r>
        <w:rPr>
          <w:rFonts w:ascii="Arial" w:hAnsi="Arial" w:cs="Arial"/>
          <w:sz w:val="20"/>
          <w:szCs w:val="20"/>
        </w:rPr>
        <w:t xml:space="preserve">om those advancing pan-Islamist arguments. It </w:t>
      </w:r>
      <w:r w:rsidRPr="00676EB8">
        <w:rPr>
          <w:rFonts w:ascii="Arial" w:hAnsi="Arial" w:cs="Arial"/>
          <w:sz w:val="20"/>
          <w:szCs w:val="20"/>
        </w:rPr>
        <w:t xml:space="preserve">cannot be taken for granted that the former </w:t>
      </w:r>
      <w:r>
        <w:rPr>
          <w:rFonts w:ascii="Arial" w:hAnsi="Arial" w:cs="Arial"/>
          <w:sz w:val="20"/>
          <w:szCs w:val="20"/>
        </w:rPr>
        <w:t xml:space="preserve">will always be preferable to an ordinary Bosnian Muslim after </w:t>
      </w:r>
      <w:r w:rsidRPr="00676EB8">
        <w:rPr>
          <w:rFonts w:ascii="Arial" w:hAnsi="Arial" w:cs="Arial"/>
          <w:sz w:val="20"/>
          <w:szCs w:val="20"/>
        </w:rPr>
        <w:t>a UN arms embargo tha</w:t>
      </w:r>
      <w:r>
        <w:rPr>
          <w:rFonts w:ascii="Arial" w:hAnsi="Arial" w:cs="Arial"/>
          <w:sz w:val="20"/>
          <w:szCs w:val="20"/>
        </w:rPr>
        <w:t xml:space="preserve">t hampered self-defense against </w:t>
      </w:r>
      <w:r w:rsidRPr="00676EB8">
        <w:rPr>
          <w:rFonts w:ascii="Arial" w:hAnsi="Arial" w:cs="Arial"/>
          <w:sz w:val="20"/>
          <w:szCs w:val="20"/>
        </w:rPr>
        <w:t>ethnic cleansi</w:t>
      </w:r>
      <w:r>
        <w:rPr>
          <w:rFonts w:ascii="Arial" w:hAnsi="Arial" w:cs="Arial"/>
          <w:sz w:val="20"/>
          <w:szCs w:val="20"/>
        </w:rPr>
        <w:t xml:space="preserve">ng or an Iraqi after nearly two </w:t>
      </w:r>
      <w:r w:rsidRPr="00676EB8">
        <w:rPr>
          <w:rFonts w:ascii="Arial" w:hAnsi="Arial" w:cs="Arial"/>
          <w:sz w:val="20"/>
          <w:szCs w:val="20"/>
        </w:rPr>
        <w:t>decades of sanctions, occupation, and civil</w:t>
      </w:r>
      <w:r>
        <w:rPr>
          <w:rFonts w:ascii="Arial" w:hAnsi="Arial" w:cs="Arial"/>
          <w:sz w:val="20"/>
          <w:szCs w:val="20"/>
        </w:rPr>
        <w:t xml:space="preserve"> </w:t>
      </w:r>
      <w:r w:rsidRPr="00676EB8">
        <w:rPr>
          <w:rFonts w:ascii="Arial" w:hAnsi="Arial" w:cs="Arial"/>
          <w:sz w:val="20"/>
          <w:szCs w:val="20"/>
        </w:rPr>
        <w:t>war. Foreignness, as we</w:t>
      </w:r>
      <w:r>
        <w:rPr>
          <w:rFonts w:ascii="Arial" w:hAnsi="Arial" w:cs="Arial"/>
          <w:sz w:val="20"/>
          <w:szCs w:val="20"/>
        </w:rPr>
        <w:t xml:space="preserve">ll as the ability to embody the </w:t>
      </w:r>
      <w:r w:rsidRPr="00676EB8">
        <w:rPr>
          <w:rFonts w:ascii="Arial" w:hAnsi="Arial" w:cs="Arial"/>
          <w:sz w:val="20"/>
          <w:szCs w:val="20"/>
        </w:rPr>
        <w:t>uni</w:t>
      </w:r>
      <w:r>
        <w:rPr>
          <w:rFonts w:ascii="Arial" w:hAnsi="Arial" w:cs="Arial"/>
          <w:sz w:val="20"/>
          <w:szCs w:val="20"/>
        </w:rPr>
        <w:t xml:space="preserve">versal, is very much in the eye </w:t>
      </w:r>
      <w:r w:rsidRPr="00676EB8">
        <w:rPr>
          <w:rFonts w:ascii="Arial" w:hAnsi="Arial" w:cs="Arial"/>
          <w:sz w:val="20"/>
          <w:szCs w:val="20"/>
        </w:rPr>
        <w:t>of the beholder.</w:t>
      </w:r>
    </w:p>
    <w:p w:rsidR="00507EDC" w:rsidRDefault="00507EDC" w:rsidP="00507EDC">
      <w:pPr>
        <w:rPr>
          <w:rFonts w:ascii="Arial" w:hAnsi="Arial" w:cs="Arial"/>
          <w:sz w:val="20"/>
          <w:szCs w:val="20"/>
        </w:rPr>
      </w:pPr>
    </w:p>
    <w:p w:rsidR="00432E8F" w:rsidRDefault="00507EDC" w:rsidP="00432E8F">
      <w:pPr>
        <w:ind w:left="720" w:firstLine="720"/>
        <w:rPr>
          <w:rFonts w:cs="Times New Roman"/>
          <w:sz w:val="20"/>
          <w:szCs w:val="20"/>
        </w:rPr>
      </w:pPr>
      <w:r w:rsidRPr="00507EDC">
        <w:rPr>
          <w:rFonts w:cs="Times New Roman"/>
          <w:sz w:val="20"/>
          <w:szCs w:val="20"/>
        </w:rPr>
        <w:t>--- http://digitalcommons.law.yale.edu/cgi/viewcontent.cgi?article=1092&amp;context=student_papers</w:t>
      </w:r>
    </w:p>
    <w:p w:rsidR="00432E8F" w:rsidRPr="00432E8F" w:rsidRDefault="00480A4A" w:rsidP="00432E8F">
      <w:pPr>
        <w:rPr>
          <w:rFonts w:cs="Times New Roman"/>
          <w:sz w:val="28"/>
          <w:szCs w:val="28"/>
        </w:rPr>
      </w:pPr>
      <w:r w:rsidRPr="00432E8F">
        <w:rPr>
          <w:rFonts w:cs="Times New Roman"/>
          <w:sz w:val="28"/>
          <w:szCs w:val="28"/>
        </w:rPr>
        <w:lastRenderedPageBreak/>
        <w:t xml:space="preserve">No </w:t>
      </w:r>
      <w:proofErr w:type="spellStart"/>
      <w:r w:rsidRPr="00432E8F">
        <w:rPr>
          <w:rFonts w:cs="Times New Roman"/>
          <w:sz w:val="28"/>
          <w:szCs w:val="28"/>
        </w:rPr>
        <w:t>Kony</w:t>
      </w:r>
      <w:proofErr w:type="spellEnd"/>
      <w:r w:rsidRPr="00432E8F">
        <w:rPr>
          <w:rFonts w:cs="Times New Roman"/>
          <w:sz w:val="28"/>
          <w:szCs w:val="28"/>
        </w:rPr>
        <w:t xml:space="preserve"> Is an Island: Dea</w:t>
      </w:r>
      <w:r w:rsidR="00432E8F" w:rsidRPr="00432E8F">
        <w:rPr>
          <w:rFonts w:cs="Times New Roman"/>
          <w:sz w:val="28"/>
          <w:szCs w:val="28"/>
        </w:rPr>
        <w:t>th and Profit in Central Africa</w:t>
      </w:r>
    </w:p>
    <w:p w:rsidR="00480A4A" w:rsidRPr="00480A4A" w:rsidRDefault="00480A4A" w:rsidP="00480A4A">
      <w:pPr>
        <w:rPr>
          <w:rFonts w:ascii="Arial" w:hAnsi="Arial" w:cs="Arial"/>
          <w:sz w:val="20"/>
          <w:szCs w:val="20"/>
        </w:rPr>
      </w:pPr>
      <w:r w:rsidRPr="00480A4A">
        <w:rPr>
          <w:rFonts w:ascii="Arial" w:hAnsi="Arial" w:cs="Arial"/>
          <w:sz w:val="20"/>
          <w:szCs w:val="20"/>
        </w:rPr>
        <w:t xml:space="preserve">Elliott </w:t>
      </w:r>
      <w:proofErr w:type="spellStart"/>
      <w:r w:rsidRPr="00480A4A">
        <w:rPr>
          <w:rFonts w:ascii="Arial" w:hAnsi="Arial" w:cs="Arial"/>
          <w:sz w:val="20"/>
          <w:szCs w:val="20"/>
        </w:rPr>
        <w:t>Prasse</w:t>
      </w:r>
      <w:proofErr w:type="spellEnd"/>
      <w:r w:rsidRPr="00480A4A">
        <w:rPr>
          <w:rFonts w:ascii="Arial" w:hAnsi="Arial" w:cs="Arial"/>
          <w:sz w:val="20"/>
          <w:szCs w:val="20"/>
        </w:rPr>
        <w:t>-Freeman</w:t>
      </w:r>
      <w:r w:rsidR="00432E8F">
        <w:rPr>
          <w:rFonts w:ascii="Arial" w:hAnsi="Arial" w:cs="Arial"/>
          <w:sz w:val="20"/>
          <w:szCs w:val="20"/>
        </w:rPr>
        <w:t xml:space="preserve">   -    The New Inquiry   -   </w:t>
      </w:r>
      <w:r w:rsidRPr="00480A4A">
        <w:rPr>
          <w:rFonts w:ascii="Arial" w:hAnsi="Arial" w:cs="Arial"/>
          <w:sz w:val="20"/>
          <w:szCs w:val="20"/>
        </w:rPr>
        <w:t>March 14, 2012</w:t>
      </w:r>
    </w:p>
    <w:p w:rsidR="00432E8F" w:rsidRDefault="00432E8F" w:rsidP="00480A4A">
      <w:pPr>
        <w:rPr>
          <w:rFonts w:ascii="Arial" w:hAnsi="Arial" w:cs="Arial"/>
          <w:sz w:val="20"/>
          <w:szCs w:val="20"/>
        </w:rPr>
      </w:pPr>
    </w:p>
    <w:p w:rsidR="00432E8F" w:rsidRDefault="00432E8F" w:rsidP="00480A4A">
      <w:pPr>
        <w:rPr>
          <w:rFonts w:ascii="Arial" w:hAnsi="Arial" w:cs="Arial"/>
          <w:sz w:val="20"/>
          <w:szCs w:val="20"/>
        </w:rPr>
      </w:pPr>
    </w:p>
    <w:p w:rsidR="00432E8F" w:rsidRDefault="00480A4A" w:rsidP="00432E8F">
      <w:pPr>
        <w:ind w:firstLine="720"/>
        <w:rPr>
          <w:rFonts w:ascii="Arial" w:hAnsi="Arial" w:cs="Arial"/>
          <w:sz w:val="20"/>
          <w:szCs w:val="20"/>
        </w:rPr>
      </w:pPr>
      <w:r w:rsidRPr="00480A4A">
        <w:rPr>
          <w:rFonts w:ascii="Arial" w:hAnsi="Arial" w:cs="Arial"/>
          <w:sz w:val="20"/>
          <w:szCs w:val="20"/>
        </w:rPr>
        <w:t xml:space="preserve">Now that the progressing phases of #Kony2012 (endorsement, backlash, backlash-to-the-backlash, and </w:t>
      </w:r>
      <w:proofErr w:type="gramStart"/>
      <w:r w:rsidRPr="00480A4A">
        <w:rPr>
          <w:rFonts w:ascii="Arial" w:hAnsi="Arial" w:cs="Arial"/>
          <w:sz w:val="20"/>
          <w:szCs w:val="20"/>
        </w:rPr>
        <w:t>meta</w:t>
      </w:r>
      <w:proofErr w:type="gramEnd"/>
      <w:r w:rsidRPr="00480A4A">
        <w:rPr>
          <w:rFonts w:ascii="Arial" w:hAnsi="Arial" w:cs="Arial"/>
          <w:sz w:val="20"/>
          <w:szCs w:val="20"/>
        </w:rPr>
        <w:t xml:space="preserve"> commentary on these phases) have played out, they have left behind a residue: br</w:t>
      </w:r>
      <w:r w:rsidR="00432E8F">
        <w:rPr>
          <w:rFonts w:ascii="Arial" w:hAnsi="Arial" w:cs="Arial"/>
          <w:sz w:val="20"/>
          <w:szCs w:val="20"/>
        </w:rPr>
        <w:t>oad interest in central Africa.</w:t>
      </w:r>
    </w:p>
    <w:p w:rsidR="00432E8F" w:rsidRDefault="00432E8F" w:rsidP="00432E8F">
      <w:pPr>
        <w:ind w:firstLine="720"/>
        <w:rPr>
          <w:rFonts w:ascii="Arial" w:hAnsi="Arial" w:cs="Arial"/>
          <w:sz w:val="20"/>
          <w:szCs w:val="20"/>
        </w:rPr>
      </w:pPr>
    </w:p>
    <w:p w:rsidR="00432E8F" w:rsidRDefault="00480A4A" w:rsidP="00432E8F">
      <w:pPr>
        <w:ind w:firstLine="720"/>
        <w:rPr>
          <w:rFonts w:ascii="Arial" w:hAnsi="Arial" w:cs="Arial"/>
          <w:sz w:val="20"/>
          <w:szCs w:val="20"/>
        </w:rPr>
      </w:pPr>
      <w:r w:rsidRPr="00480A4A">
        <w:rPr>
          <w:rFonts w:ascii="Arial" w:hAnsi="Arial" w:cs="Arial"/>
          <w:sz w:val="20"/>
          <w:szCs w:val="20"/>
        </w:rPr>
        <w:t xml:space="preserve">Invisible Children’s slick movie moved many, but its arrogance and elisions set off alarms for a heartening number of others. </w:t>
      </w:r>
      <w:r w:rsidR="00432E8F">
        <w:rPr>
          <w:rFonts w:ascii="Arial" w:hAnsi="Arial" w:cs="Arial"/>
          <w:sz w:val="20"/>
          <w:szCs w:val="20"/>
        </w:rPr>
        <w:t xml:space="preserve">   . . .   </w:t>
      </w:r>
    </w:p>
    <w:p w:rsidR="00432E8F" w:rsidRDefault="00432E8F" w:rsidP="00432E8F">
      <w:pPr>
        <w:ind w:firstLine="720"/>
        <w:rPr>
          <w:rFonts w:ascii="Arial" w:hAnsi="Arial" w:cs="Arial"/>
          <w:sz w:val="20"/>
          <w:szCs w:val="20"/>
        </w:rPr>
      </w:pPr>
    </w:p>
    <w:p w:rsidR="00432E8F" w:rsidRPr="00480A4A" w:rsidRDefault="00432E8F" w:rsidP="00432E8F">
      <w:pPr>
        <w:ind w:firstLine="720"/>
        <w:rPr>
          <w:rFonts w:ascii="Arial" w:hAnsi="Arial" w:cs="Arial"/>
          <w:sz w:val="20"/>
          <w:szCs w:val="20"/>
        </w:rPr>
      </w:pPr>
    </w:p>
    <w:p w:rsidR="00432E8F" w:rsidRDefault="00432E8F" w:rsidP="00432E8F">
      <w:pPr>
        <w:ind w:firstLine="720"/>
        <w:rPr>
          <w:rFonts w:ascii="Arial" w:hAnsi="Arial" w:cs="Arial"/>
          <w:sz w:val="20"/>
          <w:szCs w:val="20"/>
        </w:rPr>
      </w:pPr>
      <w:r>
        <w:rPr>
          <w:rFonts w:ascii="Arial" w:hAnsi="Arial" w:cs="Arial"/>
          <w:sz w:val="20"/>
          <w:szCs w:val="20"/>
        </w:rPr>
        <w:t xml:space="preserve">. . .   </w:t>
      </w:r>
      <w:proofErr w:type="spellStart"/>
      <w:r w:rsidR="00480A4A" w:rsidRPr="00480A4A">
        <w:rPr>
          <w:rFonts w:ascii="Arial" w:hAnsi="Arial" w:cs="Arial"/>
          <w:sz w:val="20"/>
          <w:szCs w:val="20"/>
        </w:rPr>
        <w:t>Kony</w:t>
      </w:r>
      <w:proofErr w:type="spellEnd"/>
      <w:r w:rsidR="00480A4A" w:rsidRPr="00480A4A">
        <w:rPr>
          <w:rFonts w:ascii="Arial" w:hAnsi="Arial" w:cs="Arial"/>
          <w:sz w:val="20"/>
          <w:szCs w:val="20"/>
        </w:rPr>
        <w:t xml:space="preserve"> contributed almost nothing in the grand scheme of things. Four million people died from conflict in the DRC during the 1990s and early 2000s, and there were no media campaigns to “raise awareness” about them. </w:t>
      </w:r>
      <w:r>
        <w:rPr>
          <w:rFonts w:ascii="Arial" w:hAnsi="Arial" w:cs="Arial"/>
          <w:sz w:val="20"/>
          <w:szCs w:val="20"/>
        </w:rPr>
        <w:t xml:space="preserve">   . . .   </w:t>
      </w:r>
    </w:p>
    <w:p w:rsidR="00432E8F" w:rsidRDefault="00432E8F" w:rsidP="00432E8F">
      <w:pPr>
        <w:ind w:firstLine="720"/>
        <w:rPr>
          <w:rFonts w:ascii="Arial" w:hAnsi="Arial" w:cs="Arial"/>
          <w:sz w:val="20"/>
          <w:szCs w:val="20"/>
        </w:rPr>
      </w:pPr>
    </w:p>
    <w:p w:rsidR="00432E8F" w:rsidRPr="00480A4A" w:rsidRDefault="00432E8F" w:rsidP="00432E8F">
      <w:pPr>
        <w:ind w:firstLine="720"/>
        <w:rPr>
          <w:rFonts w:ascii="Arial" w:hAnsi="Arial" w:cs="Arial"/>
          <w:sz w:val="20"/>
          <w:szCs w:val="20"/>
        </w:rPr>
      </w:pPr>
    </w:p>
    <w:p w:rsidR="00432E8F" w:rsidRDefault="00432E8F" w:rsidP="00432E8F">
      <w:pPr>
        <w:ind w:firstLine="720"/>
        <w:rPr>
          <w:rFonts w:ascii="Arial" w:hAnsi="Arial" w:cs="Arial"/>
          <w:sz w:val="20"/>
          <w:szCs w:val="20"/>
        </w:rPr>
      </w:pPr>
      <w:r>
        <w:rPr>
          <w:rFonts w:ascii="Arial" w:hAnsi="Arial" w:cs="Arial"/>
          <w:sz w:val="20"/>
          <w:szCs w:val="20"/>
        </w:rPr>
        <w:t>. . .   T</w:t>
      </w:r>
      <w:r w:rsidR="00480A4A" w:rsidRPr="00480A4A">
        <w:rPr>
          <w:rFonts w:ascii="Arial" w:hAnsi="Arial" w:cs="Arial"/>
          <w:sz w:val="20"/>
          <w:szCs w:val="20"/>
        </w:rPr>
        <w:t>he #Kony2012 campa</w:t>
      </w:r>
      <w:r>
        <w:rPr>
          <w:rFonts w:ascii="Arial" w:hAnsi="Arial" w:cs="Arial"/>
          <w:sz w:val="20"/>
          <w:szCs w:val="20"/>
        </w:rPr>
        <w:t xml:space="preserve">ign might actually buttress  . . .  </w:t>
      </w:r>
      <w:r w:rsidR="00480A4A" w:rsidRPr="00480A4A">
        <w:rPr>
          <w:rFonts w:ascii="Arial" w:hAnsi="Arial" w:cs="Arial"/>
          <w:sz w:val="20"/>
          <w:szCs w:val="20"/>
        </w:rPr>
        <w:t xml:space="preserve"> death-making because it relies fundamentally on the legitimacy and ability of the United States military to patrol and control Africa and works to provide symbolic and discursive cover for the creeping penetration of the U.S. military’</w:t>
      </w:r>
      <w:r>
        <w:rPr>
          <w:rFonts w:ascii="Arial" w:hAnsi="Arial" w:cs="Arial"/>
          <w:sz w:val="20"/>
          <w:szCs w:val="20"/>
        </w:rPr>
        <w:t>s AFRICOM across the continent.</w:t>
      </w:r>
    </w:p>
    <w:p w:rsidR="00432E8F" w:rsidRDefault="00432E8F" w:rsidP="00432E8F">
      <w:pPr>
        <w:ind w:firstLine="720"/>
        <w:rPr>
          <w:rFonts w:ascii="Arial" w:hAnsi="Arial" w:cs="Arial"/>
          <w:sz w:val="20"/>
          <w:szCs w:val="20"/>
        </w:rPr>
      </w:pPr>
    </w:p>
    <w:p w:rsidR="00480A4A" w:rsidRDefault="00480A4A" w:rsidP="003A6A20">
      <w:pPr>
        <w:ind w:firstLine="720"/>
        <w:rPr>
          <w:rFonts w:ascii="Arial" w:hAnsi="Arial" w:cs="Arial"/>
          <w:sz w:val="20"/>
          <w:szCs w:val="20"/>
        </w:rPr>
      </w:pPr>
      <w:r w:rsidRPr="00480A4A">
        <w:rPr>
          <w:rFonts w:ascii="Arial" w:hAnsi="Arial" w:cs="Arial"/>
          <w:sz w:val="20"/>
          <w:szCs w:val="20"/>
        </w:rPr>
        <w:t>In the spirit, then, of raising awareness, we might train our eyes on the AFRICOM project: What are its goals? What are the legacies of U.S. military involvement in Africa? What is the relationship between AFRICOM and these economies of death?</w:t>
      </w:r>
      <w:r w:rsidR="003A6A20">
        <w:rPr>
          <w:rFonts w:ascii="Arial" w:hAnsi="Arial" w:cs="Arial"/>
          <w:sz w:val="20"/>
          <w:szCs w:val="20"/>
        </w:rPr>
        <w:t xml:space="preserve"> </w:t>
      </w:r>
      <w:r w:rsidRPr="00480A4A">
        <w:rPr>
          <w:rFonts w:ascii="Arial" w:hAnsi="Arial" w:cs="Arial"/>
          <w:sz w:val="20"/>
          <w:szCs w:val="20"/>
        </w:rPr>
        <w:t>I Drink Your Milkshake</w:t>
      </w:r>
      <w:r w:rsidR="003A6A20">
        <w:rPr>
          <w:rFonts w:ascii="Arial" w:hAnsi="Arial" w:cs="Arial"/>
          <w:sz w:val="20"/>
          <w:szCs w:val="20"/>
        </w:rPr>
        <w:t xml:space="preserve">    . . .    </w:t>
      </w:r>
    </w:p>
    <w:p w:rsidR="003A6A20" w:rsidRDefault="003A6A20" w:rsidP="003A6A20">
      <w:pPr>
        <w:ind w:firstLine="720"/>
        <w:rPr>
          <w:rFonts w:ascii="Arial" w:hAnsi="Arial" w:cs="Arial"/>
          <w:sz w:val="20"/>
          <w:szCs w:val="20"/>
        </w:rPr>
      </w:pPr>
    </w:p>
    <w:p w:rsidR="003A6A20" w:rsidRPr="00480A4A" w:rsidRDefault="003A6A20" w:rsidP="003A6A20">
      <w:pPr>
        <w:ind w:firstLine="720"/>
        <w:rPr>
          <w:rFonts w:ascii="Arial" w:hAnsi="Arial" w:cs="Arial"/>
          <w:sz w:val="20"/>
          <w:szCs w:val="20"/>
        </w:rPr>
      </w:pPr>
    </w:p>
    <w:p w:rsidR="00480A4A" w:rsidRPr="00480A4A" w:rsidRDefault="003A6A20" w:rsidP="003A6A20">
      <w:pPr>
        <w:ind w:firstLine="720"/>
        <w:rPr>
          <w:rFonts w:ascii="Arial" w:hAnsi="Arial" w:cs="Arial"/>
          <w:sz w:val="20"/>
          <w:szCs w:val="20"/>
        </w:rPr>
      </w:pPr>
      <w:r>
        <w:rPr>
          <w:rFonts w:ascii="Arial" w:hAnsi="Arial" w:cs="Arial"/>
          <w:sz w:val="20"/>
          <w:szCs w:val="20"/>
        </w:rPr>
        <w:t xml:space="preserve">. . .   </w:t>
      </w:r>
      <w:r w:rsidR="00480A4A" w:rsidRPr="00480A4A">
        <w:rPr>
          <w:rFonts w:ascii="Arial" w:hAnsi="Arial" w:cs="Arial"/>
          <w:sz w:val="20"/>
          <w:szCs w:val="20"/>
        </w:rPr>
        <w:t xml:space="preserve">Despite what Invisible Children might have you believe, Joseph </w:t>
      </w:r>
      <w:proofErr w:type="spellStart"/>
      <w:r w:rsidR="00480A4A" w:rsidRPr="00480A4A">
        <w:rPr>
          <w:rFonts w:ascii="Arial" w:hAnsi="Arial" w:cs="Arial"/>
          <w:sz w:val="20"/>
          <w:szCs w:val="20"/>
        </w:rPr>
        <w:t>Kony</w:t>
      </w:r>
      <w:proofErr w:type="spellEnd"/>
      <w:r w:rsidR="00480A4A" w:rsidRPr="00480A4A">
        <w:rPr>
          <w:rFonts w:ascii="Arial" w:hAnsi="Arial" w:cs="Arial"/>
          <w:sz w:val="20"/>
          <w:szCs w:val="20"/>
        </w:rPr>
        <w:t xml:space="preserve"> is not the only “bad guy” in sub-Saharan Africa’s story of militias and armies abusing citizens. Throughout the two-decade-long war and the Ugandan Army’s (UPDF) attempts to hunt down </w:t>
      </w:r>
      <w:proofErr w:type="spellStart"/>
      <w:r w:rsidR="00480A4A" w:rsidRPr="00480A4A">
        <w:rPr>
          <w:rFonts w:ascii="Arial" w:hAnsi="Arial" w:cs="Arial"/>
          <w:sz w:val="20"/>
          <w:szCs w:val="20"/>
        </w:rPr>
        <w:t>Kony</w:t>
      </w:r>
      <w:proofErr w:type="spellEnd"/>
      <w:r w:rsidR="00480A4A" w:rsidRPr="00480A4A">
        <w:rPr>
          <w:rFonts w:ascii="Arial" w:hAnsi="Arial" w:cs="Arial"/>
          <w:sz w:val="20"/>
          <w:szCs w:val="20"/>
        </w:rPr>
        <w:t xml:space="preserve"> and the Lord’s Resistance Army (LRA), the UPDF has repeatedly terrorized communities they were meant to protect. Just last week Uganda newspapers reported that the UPDF was raping and looting in its Obama-enabled search for Kony</w:t>
      </w:r>
      <w:proofErr w:type="gramStart"/>
      <w:r w:rsidR="00480A4A" w:rsidRPr="00480A4A">
        <w:rPr>
          <w:rFonts w:ascii="Arial" w:hAnsi="Arial" w:cs="Arial"/>
          <w:sz w:val="20"/>
          <w:szCs w:val="20"/>
        </w:rPr>
        <w:t xml:space="preserve">, </w:t>
      </w:r>
      <w:r>
        <w:rPr>
          <w:rFonts w:ascii="Arial" w:hAnsi="Arial" w:cs="Arial"/>
          <w:sz w:val="20"/>
          <w:szCs w:val="20"/>
        </w:rPr>
        <w:t xml:space="preserve"> </w:t>
      </w:r>
      <w:r w:rsidR="00480A4A" w:rsidRPr="00480A4A">
        <w:rPr>
          <w:rFonts w:ascii="Arial" w:hAnsi="Arial" w:cs="Arial"/>
          <w:sz w:val="20"/>
          <w:szCs w:val="20"/>
        </w:rPr>
        <w:t>Although</w:t>
      </w:r>
      <w:proofErr w:type="gramEnd"/>
      <w:r w:rsidR="00480A4A" w:rsidRPr="00480A4A">
        <w:rPr>
          <w:rFonts w:ascii="Arial" w:hAnsi="Arial" w:cs="Arial"/>
          <w:sz w:val="20"/>
          <w:szCs w:val="20"/>
        </w:rPr>
        <w:t xml:space="preserve"> I must mention that I have not been able to locate the S</w:t>
      </w:r>
      <w:r>
        <w:rPr>
          <w:rFonts w:ascii="Arial" w:hAnsi="Arial" w:cs="Arial"/>
          <w:sz w:val="20"/>
          <w:szCs w:val="20"/>
        </w:rPr>
        <w:t xml:space="preserve">SRC report on which the article </w:t>
      </w:r>
      <w:r w:rsidR="00480A4A" w:rsidRPr="00480A4A">
        <w:rPr>
          <w:rFonts w:ascii="Arial" w:hAnsi="Arial" w:cs="Arial"/>
          <w:sz w:val="20"/>
          <w:szCs w:val="20"/>
        </w:rPr>
        <w:t>bases the claims, raising doubts as to the veracity of the story (if no</w:t>
      </w:r>
      <w:r>
        <w:rPr>
          <w:rFonts w:ascii="Arial" w:hAnsi="Arial" w:cs="Arial"/>
          <w:sz w:val="20"/>
          <w:szCs w:val="20"/>
        </w:rPr>
        <w:t xml:space="preserve">t doubts about veracity of UPDF </w:t>
      </w:r>
      <w:r w:rsidR="00480A4A" w:rsidRPr="00480A4A">
        <w:rPr>
          <w:rFonts w:ascii="Arial" w:hAnsi="Arial" w:cs="Arial"/>
          <w:sz w:val="20"/>
          <w:szCs w:val="20"/>
        </w:rPr>
        <w:t>raping and looting, given its past behavior).</w:t>
      </w:r>
      <w:r w:rsidRPr="00480A4A">
        <w:rPr>
          <w:rFonts w:ascii="Arial" w:hAnsi="Arial" w:cs="Arial"/>
          <w:sz w:val="20"/>
          <w:szCs w:val="20"/>
        </w:rPr>
        <w:t xml:space="preserve"> </w:t>
      </w:r>
      <w:r>
        <w:rPr>
          <w:rFonts w:ascii="Arial" w:hAnsi="Arial" w:cs="Arial"/>
          <w:sz w:val="20"/>
          <w:szCs w:val="20"/>
        </w:rPr>
        <w:t xml:space="preserve"> </w:t>
      </w:r>
      <w:r w:rsidR="00480A4A" w:rsidRPr="00480A4A">
        <w:rPr>
          <w:rFonts w:ascii="Arial" w:hAnsi="Arial" w:cs="Arial"/>
          <w:sz w:val="20"/>
          <w:szCs w:val="20"/>
        </w:rPr>
        <w:t xml:space="preserve">But the UPDF is more than just a brutal sheriff’s posse. As William Reno documents in a fascinating study, Ugandan (and Rwandan) armies used the pretense of security threats from armed militias such as </w:t>
      </w:r>
      <w:proofErr w:type="spellStart"/>
      <w:r w:rsidR="00480A4A" w:rsidRPr="00480A4A">
        <w:rPr>
          <w:rFonts w:ascii="Arial" w:hAnsi="Arial" w:cs="Arial"/>
          <w:sz w:val="20"/>
          <w:szCs w:val="20"/>
        </w:rPr>
        <w:t>Kony’s</w:t>
      </w:r>
      <w:proofErr w:type="spellEnd"/>
      <w:r w:rsidR="00480A4A" w:rsidRPr="00480A4A">
        <w:rPr>
          <w:rFonts w:ascii="Arial" w:hAnsi="Arial" w:cs="Arial"/>
          <w:sz w:val="20"/>
          <w:szCs w:val="20"/>
        </w:rPr>
        <w:t xml:space="preserve"> LRA for years to establish their own extraction rackets in the provinces of southern and eastern DRC where state control is still mostly absent.</w:t>
      </w:r>
    </w:p>
    <w:p w:rsidR="00480A4A" w:rsidRPr="00480A4A" w:rsidRDefault="00480A4A" w:rsidP="00480A4A">
      <w:pPr>
        <w:rPr>
          <w:rFonts w:ascii="Arial" w:hAnsi="Arial" w:cs="Arial"/>
          <w:sz w:val="20"/>
          <w:szCs w:val="20"/>
        </w:rPr>
      </w:pPr>
    </w:p>
    <w:p w:rsidR="00842364" w:rsidRDefault="00480A4A" w:rsidP="00842364">
      <w:pPr>
        <w:ind w:firstLine="720"/>
        <w:rPr>
          <w:rFonts w:ascii="Arial" w:hAnsi="Arial" w:cs="Arial"/>
          <w:sz w:val="20"/>
          <w:szCs w:val="20"/>
        </w:rPr>
      </w:pPr>
      <w:r w:rsidRPr="00480A4A">
        <w:rPr>
          <w:rFonts w:ascii="Arial" w:hAnsi="Arial" w:cs="Arial"/>
          <w:sz w:val="20"/>
          <w:szCs w:val="20"/>
        </w:rPr>
        <w:t>Uganda’s President Museveni, after attaining power in a 1986 coup, solved the peacetime problem of a glut of unskilled and jobless former soldiers by exporting them to the DRC to find “jobs” for themselves. By deploying improvisational extra-territorial tactics, the Ugandan military essentially became a military business, repatriating millions of dollars’ worth of gold, diamonds, and timber to the home country for export, a process which generated foreign exchange and balance of payments improvement.</w:t>
      </w:r>
      <w:r w:rsidR="00842364">
        <w:rPr>
          <w:rFonts w:ascii="Arial" w:hAnsi="Arial" w:cs="Arial"/>
          <w:sz w:val="20"/>
          <w:szCs w:val="20"/>
        </w:rPr>
        <w:t xml:space="preserve">   . . .</w:t>
      </w:r>
    </w:p>
    <w:p w:rsidR="00842364" w:rsidRDefault="00842364" w:rsidP="00842364">
      <w:pPr>
        <w:ind w:firstLine="720"/>
        <w:rPr>
          <w:rFonts w:ascii="Arial" w:hAnsi="Arial" w:cs="Arial"/>
          <w:sz w:val="20"/>
          <w:szCs w:val="20"/>
        </w:rPr>
      </w:pPr>
    </w:p>
    <w:p w:rsidR="00480A4A" w:rsidRPr="00480A4A" w:rsidRDefault="00842364" w:rsidP="00842364">
      <w:pPr>
        <w:ind w:firstLine="720"/>
        <w:rPr>
          <w:rFonts w:ascii="Arial" w:hAnsi="Arial" w:cs="Arial"/>
          <w:sz w:val="20"/>
          <w:szCs w:val="20"/>
        </w:rPr>
      </w:pPr>
      <w:r w:rsidRPr="00480A4A">
        <w:rPr>
          <w:rFonts w:ascii="Arial" w:hAnsi="Arial" w:cs="Arial"/>
          <w:sz w:val="20"/>
          <w:szCs w:val="20"/>
        </w:rPr>
        <w:t xml:space="preserve"> </w:t>
      </w:r>
    </w:p>
    <w:p w:rsidR="00480A4A" w:rsidRPr="00480A4A" w:rsidRDefault="00842364" w:rsidP="00842364">
      <w:pPr>
        <w:ind w:firstLine="720"/>
        <w:rPr>
          <w:rFonts w:ascii="Arial" w:hAnsi="Arial" w:cs="Arial"/>
          <w:sz w:val="20"/>
          <w:szCs w:val="20"/>
        </w:rPr>
      </w:pPr>
      <w:r>
        <w:rPr>
          <w:rFonts w:ascii="Arial" w:hAnsi="Arial" w:cs="Arial"/>
          <w:sz w:val="20"/>
          <w:szCs w:val="20"/>
        </w:rPr>
        <w:t xml:space="preserve">. . .  </w:t>
      </w:r>
      <w:r w:rsidR="00480A4A" w:rsidRPr="00480A4A">
        <w:rPr>
          <w:rFonts w:ascii="Arial" w:hAnsi="Arial" w:cs="Arial"/>
          <w:sz w:val="20"/>
          <w:szCs w:val="20"/>
        </w:rPr>
        <w:t xml:space="preserve">What we observe here may be conceived as a cousin to </w:t>
      </w:r>
      <w:proofErr w:type="spellStart"/>
      <w:r w:rsidR="00480A4A" w:rsidRPr="00480A4A">
        <w:rPr>
          <w:rFonts w:ascii="Arial" w:hAnsi="Arial" w:cs="Arial"/>
          <w:sz w:val="20"/>
          <w:szCs w:val="20"/>
        </w:rPr>
        <w:t>Achille</w:t>
      </w:r>
      <w:proofErr w:type="spellEnd"/>
      <w:r w:rsidR="00480A4A" w:rsidRPr="00480A4A">
        <w:rPr>
          <w:rFonts w:ascii="Arial" w:hAnsi="Arial" w:cs="Arial"/>
          <w:sz w:val="20"/>
          <w:szCs w:val="20"/>
        </w:rPr>
        <w:t xml:space="preserve"> </w:t>
      </w:r>
      <w:proofErr w:type="spellStart"/>
      <w:r w:rsidR="00480A4A" w:rsidRPr="00480A4A">
        <w:rPr>
          <w:rFonts w:ascii="Arial" w:hAnsi="Arial" w:cs="Arial"/>
          <w:sz w:val="20"/>
          <w:szCs w:val="20"/>
        </w:rPr>
        <w:t>Mbembe’s</w:t>
      </w:r>
      <w:proofErr w:type="spellEnd"/>
      <w:r w:rsidR="00480A4A" w:rsidRPr="00480A4A">
        <w:rPr>
          <w:rFonts w:ascii="Arial" w:hAnsi="Arial" w:cs="Arial"/>
          <w:sz w:val="20"/>
          <w:szCs w:val="20"/>
        </w:rPr>
        <w:t xml:space="preserve"> </w:t>
      </w:r>
      <w:proofErr w:type="spellStart"/>
      <w:r w:rsidR="00480A4A" w:rsidRPr="00480A4A">
        <w:rPr>
          <w:rFonts w:ascii="Arial" w:hAnsi="Arial" w:cs="Arial"/>
          <w:sz w:val="20"/>
          <w:szCs w:val="20"/>
        </w:rPr>
        <w:t>necropolitics</w:t>
      </w:r>
      <w:proofErr w:type="spellEnd"/>
      <w:r w:rsidR="00480A4A" w:rsidRPr="00480A4A">
        <w:rPr>
          <w:rFonts w:ascii="Arial" w:hAnsi="Arial" w:cs="Arial"/>
          <w:sz w:val="20"/>
          <w:szCs w:val="20"/>
        </w:rPr>
        <w:t xml:space="preserve">, the power over life and death guaranteed by excessive physical and social violence. This is </w:t>
      </w:r>
      <w:proofErr w:type="spellStart"/>
      <w:r w:rsidR="00480A4A" w:rsidRPr="00480A4A">
        <w:rPr>
          <w:rFonts w:ascii="Arial" w:hAnsi="Arial" w:cs="Arial"/>
          <w:sz w:val="20"/>
          <w:szCs w:val="20"/>
        </w:rPr>
        <w:t>necroeconomics</w:t>
      </w:r>
      <w:proofErr w:type="spellEnd"/>
      <w:r w:rsidR="00480A4A" w:rsidRPr="00480A4A">
        <w:rPr>
          <w:rFonts w:ascii="Arial" w:hAnsi="Arial" w:cs="Arial"/>
          <w:sz w:val="20"/>
          <w:szCs w:val="20"/>
        </w:rPr>
        <w:t xml:space="preserve">, the circulation and exchange of substances that are wrested from the earth to the point of absolute exhaustion, a process protected by a regime of </w:t>
      </w:r>
      <w:proofErr w:type="spellStart"/>
      <w:r w:rsidR="00480A4A" w:rsidRPr="00480A4A">
        <w:rPr>
          <w:rFonts w:ascii="Arial" w:hAnsi="Arial" w:cs="Arial"/>
          <w:sz w:val="20"/>
          <w:szCs w:val="20"/>
        </w:rPr>
        <w:t>necropower</w:t>
      </w:r>
      <w:proofErr w:type="spellEnd"/>
      <w:r w:rsidR="00480A4A" w:rsidRPr="00480A4A">
        <w:rPr>
          <w:rFonts w:ascii="Arial" w:hAnsi="Arial" w:cs="Arial"/>
          <w:sz w:val="20"/>
          <w:szCs w:val="20"/>
        </w:rPr>
        <w:t xml:space="preserve">. This mode of extraction extinguishes, subverts, drains, and makes dead various bodies, ecologies, relationships, and spaces for the purpose of squeezing out natural resources that then feed into broader supply chains. The ability to execute this task efficiently is directly tied to the ability to execute efficient death-making. As </w:t>
      </w:r>
      <w:proofErr w:type="spellStart"/>
      <w:r w:rsidR="00480A4A" w:rsidRPr="00480A4A">
        <w:rPr>
          <w:rFonts w:ascii="Arial" w:hAnsi="Arial" w:cs="Arial"/>
          <w:sz w:val="20"/>
          <w:szCs w:val="20"/>
        </w:rPr>
        <w:t>Mbembe</w:t>
      </w:r>
      <w:proofErr w:type="spellEnd"/>
      <w:r w:rsidR="00480A4A" w:rsidRPr="00480A4A">
        <w:rPr>
          <w:rFonts w:ascii="Arial" w:hAnsi="Arial" w:cs="Arial"/>
          <w:sz w:val="20"/>
          <w:szCs w:val="20"/>
        </w:rPr>
        <w:t xml:space="preserve"> writes,</w:t>
      </w:r>
    </w:p>
    <w:p w:rsidR="00480A4A" w:rsidRPr="00480A4A" w:rsidRDefault="00480A4A" w:rsidP="00480A4A">
      <w:pPr>
        <w:rPr>
          <w:rFonts w:ascii="Arial" w:hAnsi="Arial" w:cs="Arial"/>
          <w:sz w:val="20"/>
          <w:szCs w:val="20"/>
        </w:rPr>
      </w:pPr>
    </w:p>
    <w:p w:rsidR="00480A4A" w:rsidRPr="00480A4A" w:rsidRDefault="00480A4A" w:rsidP="00480A4A">
      <w:pPr>
        <w:rPr>
          <w:rFonts w:ascii="Arial" w:hAnsi="Arial" w:cs="Arial"/>
          <w:sz w:val="20"/>
          <w:szCs w:val="20"/>
        </w:rPr>
      </w:pPr>
    </w:p>
    <w:p w:rsidR="00480A4A" w:rsidRDefault="00480A4A" w:rsidP="00842364">
      <w:pPr>
        <w:rPr>
          <w:rFonts w:ascii="Arial" w:hAnsi="Arial" w:cs="Arial"/>
          <w:sz w:val="20"/>
          <w:szCs w:val="20"/>
        </w:rPr>
      </w:pPr>
      <w:r w:rsidRPr="00480A4A">
        <w:rPr>
          <w:rFonts w:ascii="Arial" w:hAnsi="Arial" w:cs="Arial"/>
          <w:sz w:val="20"/>
          <w:szCs w:val="20"/>
        </w:rPr>
        <w:t>Coercion itself has become a market commodity. Military manpower is bought and sold</w:t>
      </w:r>
      <w:r w:rsidR="00842364">
        <w:rPr>
          <w:rFonts w:ascii="Arial" w:hAnsi="Arial" w:cs="Arial"/>
          <w:sz w:val="20"/>
          <w:szCs w:val="20"/>
        </w:rPr>
        <w:t xml:space="preserve">  . . .   </w:t>
      </w:r>
      <w:r w:rsidRPr="00480A4A">
        <w:rPr>
          <w:rFonts w:ascii="Arial" w:hAnsi="Arial" w:cs="Arial"/>
          <w:sz w:val="20"/>
          <w:szCs w:val="20"/>
        </w:rPr>
        <w:t xml:space="preserve"> </w:t>
      </w:r>
    </w:p>
    <w:p w:rsidR="00842364" w:rsidRDefault="00842364" w:rsidP="00842364">
      <w:pPr>
        <w:rPr>
          <w:rFonts w:ascii="Arial" w:hAnsi="Arial" w:cs="Arial"/>
          <w:sz w:val="20"/>
          <w:szCs w:val="20"/>
        </w:rPr>
      </w:pPr>
    </w:p>
    <w:p w:rsidR="00842364" w:rsidRPr="00480A4A" w:rsidRDefault="00842364" w:rsidP="00842364">
      <w:pPr>
        <w:rPr>
          <w:rFonts w:ascii="Arial" w:hAnsi="Arial" w:cs="Arial"/>
          <w:sz w:val="20"/>
          <w:szCs w:val="20"/>
        </w:rPr>
      </w:pPr>
    </w:p>
    <w:p w:rsidR="00480A4A" w:rsidRPr="00480A4A" w:rsidRDefault="00842364" w:rsidP="00842364">
      <w:pPr>
        <w:ind w:firstLine="720"/>
        <w:rPr>
          <w:rFonts w:ascii="Arial" w:hAnsi="Arial" w:cs="Arial"/>
          <w:sz w:val="20"/>
          <w:szCs w:val="20"/>
        </w:rPr>
      </w:pPr>
      <w:r>
        <w:rPr>
          <w:rFonts w:ascii="Arial" w:hAnsi="Arial" w:cs="Arial"/>
          <w:sz w:val="20"/>
          <w:szCs w:val="20"/>
        </w:rPr>
        <w:t xml:space="preserve">. . .   </w:t>
      </w:r>
      <w:proofErr w:type="spellStart"/>
      <w:r w:rsidR="00480A4A" w:rsidRPr="00480A4A">
        <w:rPr>
          <w:rFonts w:ascii="Arial" w:hAnsi="Arial" w:cs="Arial"/>
          <w:sz w:val="20"/>
          <w:szCs w:val="20"/>
        </w:rPr>
        <w:t>Mbembe</w:t>
      </w:r>
      <w:proofErr w:type="spellEnd"/>
      <w:r w:rsidR="00480A4A" w:rsidRPr="00480A4A">
        <w:rPr>
          <w:rFonts w:ascii="Arial" w:hAnsi="Arial" w:cs="Arial"/>
          <w:sz w:val="20"/>
          <w:szCs w:val="20"/>
        </w:rPr>
        <w:t xml:space="preserve">, citing Elias Canetti and implicitly challenging the reductionist narratives of victimization ascribed to Africans, argues that “the lowest form of survival is killing … Even more radically, in the logic of survival one’s horror at the sight of death turns into satisfaction that it is someone else who is dead.” The extractor in the </w:t>
      </w:r>
      <w:proofErr w:type="spellStart"/>
      <w:r w:rsidR="00480A4A" w:rsidRPr="00480A4A">
        <w:rPr>
          <w:rFonts w:ascii="Arial" w:hAnsi="Arial" w:cs="Arial"/>
          <w:sz w:val="20"/>
          <w:szCs w:val="20"/>
        </w:rPr>
        <w:t>necroeconomy</w:t>
      </w:r>
      <w:proofErr w:type="spellEnd"/>
      <w:r w:rsidR="00480A4A" w:rsidRPr="00480A4A">
        <w:rPr>
          <w:rFonts w:ascii="Arial" w:hAnsi="Arial" w:cs="Arial"/>
          <w:sz w:val="20"/>
          <w:szCs w:val="20"/>
        </w:rPr>
        <w:t xml:space="preserve"> behaves like this survivor figure. And by taking the material out of the ground, material — like life — that will expire if another takes it first, the extractor generates a supplement that goes beyond satisfaction to </w:t>
      </w:r>
      <w:proofErr w:type="spellStart"/>
      <w:r w:rsidR="00480A4A" w:rsidRPr="00480A4A">
        <w:rPr>
          <w:rFonts w:ascii="Arial" w:hAnsi="Arial" w:cs="Arial"/>
          <w:sz w:val="20"/>
          <w:szCs w:val="20"/>
        </w:rPr>
        <w:t>jouissance</w:t>
      </w:r>
      <w:proofErr w:type="spellEnd"/>
      <w:r w:rsidR="00480A4A" w:rsidRPr="00480A4A">
        <w:rPr>
          <w:rFonts w:ascii="Arial" w:hAnsi="Arial" w:cs="Arial"/>
          <w:sz w:val="20"/>
          <w:szCs w:val="20"/>
        </w:rPr>
        <w:t>, tapping into a libidinal drive that runs beneath the instrumental desire for resource accumulation.</w:t>
      </w:r>
    </w:p>
    <w:p w:rsidR="00480A4A" w:rsidRPr="00480A4A" w:rsidRDefault="00480A4A" w:rsidP="00480A4A">
      <w:pPr>
        <w:rPr>
          <w:rFonts w:ascii="Arial" w:hAnsi="Arial" w:cs="Arial"/>
          <w:sz w:val="20"/>
          <w:szCs w:val="20"/>
        </w:rPr>
      </w:pPr>
    </w:p>
    <w:p w:rsidR="00480A4A" w:rsidRDefault="00480A4A" w:rsidP="00842364">
      <w:pPr>
        <w:ind w:firstLine="720"/>
        <w:rPr>
          <w:rFonts w:ascii="Arial" w:hAnsi="Arial" w:cs="Arial"/>
          <w:sz w:val="20"/>
          <w:szCs w:val="20"/>
        </w:rPr>
      </w:pPr>
      <w:r w:rsidRPr="00480A4A">
        <w:rPr>
          <w:rFonts w:ascii="Arial" w:hAnsi="Arial" w:cs="Arial"/>
          <w:sz w:val="20"/>
          <w:szCs w:val="20"/>
        </w:rPr>
        <w:t xml:space="preserve">This suggests why a surfeit of sexual violence attends these spaces. </w:t>
      </w:r>
      <w:r w:rsidR="00842364">
        <w:rPr>
          <w:rFonts w:ascii="Arial" w:hAnsi="Arial" w:cs="Arial"/>
          <w:sz w:val="20"/>
          <w:szCs w:val="20"/>
        </w:rPr>
        <w:t xml:space="preserve">   . . .   </w:t>
      </w:r>
    </w:p>
    <w:p w:rsidR="00842364" w:rsidRDefault="00842364" w:rsidP="00842364">
      <w:pPr>
        <w:ind w:firstLine="720"/>
        <w:rPr>
          <w:rFonts w:ascii="Arial" w:hAnsi="Arial" w:cs="Arial"/>
          <w:sz w:val="20"/>
          <w:szCs w:val="20"/>
        </w:rPr>
      </w:pPr>
    </w:p>
    <w:p w:rsidR="00842364" w:rsidRPr="00480A4A" w:rsidRDefault="00842364" w:rsidP="00842364">
      <w:pPr>
        <w:ind w:firstLine="720"/>
        <w:rPr>
          <w:rFonts w:ascii="Arial" w:hAnsi="Arial" w:cs="Arial"/>
          <w:sz w:val="20"/>
          <w:szCs w:val="20"/>
        </w:rPr>
      </w:pPr>
    </w:p>
    <w:p w:rsidR="00480A4A" w:rsidRDefault="00842364" w:rsidP="001D22A4">
      <w:pPr>
        <w:ind w:firstLine="720"/>
        <w:rPr>
          <w:rFonts w:ascii="Arial" w:hAnsi="Arial" w:cs="Arial"/>
          <w:sz w:val="20"/>
          <w:szCs w:val="20"/>
        </w:rPr>
      </w:pPr>
      <w:r>
        <w:rPr>
          <w:rFonts w:ascii="Arial" w:hAnsi="Arial" w:cs="Arial"/>
          <w:sz w:val="20"/>
          <w:szCs w:val="20"/>
        </w:rPr>
        <w:t xml:space="preserve">. . .    </w:t>
      </w:r>
      <w:r w:rsidR="00480A4A" w:rsidRPr="00480A4A">
        <w:rPr>
          <w:rFonts w:ascii="Arial" w:hAnsi="Arial" w:cs="Arial"/>
          <w:sz w:val="20"/>
          <w:szCs w:val="20"/>
        </w:rPr>
        <w:t xml:space="preserve">The same extractive </w:t>
      </w:r>
      <w:proofErr w:type="spellStart"/>
      <w:r w:rsidR="00480A4A" w:rsidRPr="00480A4A">
        <w:rPr>
          <w:rFonts w:ascii="Arial" w:hAnsi="Arial" w:cs="Arial"/>
          <w:sz w:val="20"/>
          <w:szCs w:val="20"/>
        </w:rPr>
        <w:t>jouissance</w:t>
      </w:r>
      <w:proofErr w:type="spellEnd"/>
      <w:r w:rsidR="00480A4A" w:rsidRPr="00480A4A">
        <w:rPr>
          <w:rFonts w:ascii="Arial" w:hAnsi="Arial" w:cs="Arial"/>
          <w:sz w:val="20"/>
          <w:szCs w:val="20"/>
        </w:rPr>
        <w:t xml:space="preserve"> is visible “closer to home” in the gold-rush moments of Wall Street’s recent </w:t>
      </w:r>
      <w:proofErr w:type="spellStart"/>
      <w:r w:rsidR="00480A4A" w:rsidRPr="00480A4A">
        <w:rPr>
          <w:rFonts w:ascii="Arial" w:hAnsi="Arial" w:cs="Arial"/>
          <w:sz w:val="20"/>
          <w:szCs w:val="20"/>
        </w:rPr>
        <w:t>hyperextraction</w:t>
      </w:r>
      <w:proofErr w:type="spellEnd"/>
      <w:r w:rsidR="00480A4A" w:rsidRPr="00480A4A">
        <w:rPr>
          <w:rFonts w:ascii="Arial" w:hAnsi="Arial" w:cs="Arial"/>
          <w:sz w:val="20"/>
          <w:szCs w:val="20"/>
        </w:rPr>
        <w:t xml:space="preserve"> period. There was a ravenous thrill to the boom, a palpable sense of excess and transgression effected by the ratcheting up of leverage, of more risk-taking, of opaque products known to </w:t>
      </w:r>
      <w:proofErr w:type="gramStart"/>
      <w:r w:rsidR="00480A4A" w:rsidRPr="00480A4A">
        <w:rPr>
          <w:rFonts w:ascii="Arial" w:hAnsi="Arial" w:cs="Arial"/>
          <w:sz w:val="20"/>
          <w:szCs w:val="20"/>
        </w:rPr>
        <w:t>neither buyer or</w:t>
      </w:r>
      <w:proofErr w:type="gramEnd"/>
      <w:r w:rsidR="00480A4A" w:rsidRPr="00480A4A">
        <w:rPr>
          <w:rFonts w:ascii="Arial" w:hAnsi="Arial" w:cs="Arial"/>
          <w:sz w:val="20"/>
          <w:szCs w:val="20"/>
        </w:rPr>
        <w:t xml:space="preserve"> seller, of perverse incentives built into the system. During this necrosis of the U.S. economy — turning something that was ostensibly meant to produce, innovate, and synthesize into a giant asset-stripping machine — is it surprising that the excesses of the industry at that moment (the millions spent on sex workers and cocaine) mirror the </w:t>
      </w:r>
      <w:proofErr w:type="spellStart"/>
      <w:r w:rsidR="00480A4A" w:rsidRPr="00480A4A">
        <w:rPr>
          <w:rFonts w:ascii="Arial" w:hAnsi="Arial" w:cs="Arial"/>
          <w:sz w:val="20"/>
          <w:szCs w:val="20"/>
        </w:rPr>
        <w:t>jouissance</w:t>
      </w:r>
      <w:proofErr w:type="spellEnd"/>
      <w:r w:rsidR="00480A4A" w:rsidRPr="00480A4A">
        <w:rPr>
          <w:rFonts w:ascii="Arial" w:hAnsi="Arial" w:cs="Arial"/>
          <w:sz w:val="20"/>
          <w:szCs w:val="20"/>
        </w:rPr>
        <w:t xml:space="preserve"> of the stealing itself?</w:t>
      </w:r>
      <w:r w:rsidR="001D22A4">
        <w:rPr>
          <w:rFonts w:ascii="Arial" w:hAnsi="Arial" w:cs="Arial"/>
          <w:sz w:val="20"/>
          <w:szCs w:val="20"/>
        </w:rPr>
        <w:t xml:space="preserve">   . . .</w:t>
      </w:r>
    </w:p>
    <w:p w:rsidR="001D22A4" w:rsidRDefault="001D22A4" w:rsidP="001D22A4">
      <w:pPr>
        <w:ind w:firstLine="720"/>
        <w:rPr>
          <w:rFonts w:ascii="Arial" w:hAnsi="Arial" w:cs="Arial"/>
          <w:sz w:val="20"/>
          <w:szCs w:val="20"/>
        </w:rPr>
      </w:pPr>
    </w:p>
    <w:p w:rsidR="001D22A4" w:rsidRPr="00480A4A" w:rsidRDefault="001D22A4" w:rsidP="001D22A4">
      <w:pPr>
        <w:ind w:firstLine="720"/>
        <w:rPr>
          <w:rFonts w:ascii="Arial" w:hAnsi="Arial" w:cs="Arial"/>
          <w:sz w:val="20"/>
          <w:szCs w:val="20"/>
        </w:rPr>
      </w:pPr>
    </w:p>
    <w:p w:rsidR="001D22A4" w:rsidRDefault="001D22A4" w:rsidP="001D22A4">
      <w:pPr>
        <w:ind w:firstLine="720"/>
        <w:rPr>
          <w:rFonts w:ascii="Arial" w:hAnsi="Arial" w:cs="Arial"/>
          <w:sz w:val="20"/>
          <w:szCs w:val="20"/>
        </w:rPr>
      </w:pPr>
      <w:r>
        <w:rPr>
          <w:rFonts w:ascii="Arial" w:hAnsi="Arial" w:cs="Arial"/>
          <w:sz w:val="20"/>
          <w:szCs w:val="20"/>
        </w:rPr>
        <w:t>. . .   T</w:t>
      </w:r>
      <w:r w:rsidR="00480A4A" w:rsidRPr="00480A4A">
        <w:rPr>
          <w:rFonts w:ascii="Arial" w:hAnsi="Arial" w:cs="Arial"/>
          <w:sz w:val="20"/>
          <w:szCs w:val="20"/>
        </w:rPr>
        <w:t xml:space="preserve">he extractors in Congo are denied most of the rents they generate. </w:t>
      </w:r>
      <w:r>
        <w:rPr>
          <w:rFonts w:ascii="Arial" w:hAnsi="Arial" w:cs="Arial"/>
          <w:sz w:val="20"/>
          <w:szCs w:val="20"/>
        </w:rPr>
        <w:t xml:space="preserve">   . . .   </w:t>
      </w:r>
      <w:r w:rsidR="00480A4A" w:rsidRPr="00480A4A">
        <w:rPr>
          <w:rFonts w:ascii="Arial" w:hAnsi="Arial" w:cs="Arial"/>
          <w:sz w:val="20"/>
          <w:szCs w:val="20"/>
        </w:rPr>
        <w:t>This system functions for those in Northern enclave econ</w:t>
      </w:r>
      <w:r>
        <w:rPr>
          <w:rFonts w:ascii="Arial" w:hAnsi="Arial" w:cs="Arial"/>
          <w:sz w:val="20"/>
          <w:szCs w:val="20"/>
        </w:rPr>
        <w:t>omies and for comprador elites.</w:t>
      </w:r>
    </w:p>
    <w:p w:rsidR="001D22A4" w:rsidRDefault="001D22A4" w:rsidP="001D22A4">
      <w:pPr>
        <w:ind w:firstLine="720"/>
        <w:rPr>
          <w:rFonts w:ascii="Arial" w:hAnsi="Arial" w:cs="Arial"/>
          <w:sz w:val="20"/>
          <w:szCs w:val="20"/>
        </w:rPr>
      </w:pPr>
    </w:p>
    <w:p w:rsidR="001D22A4" w:rsidRDefault="00480A4A" w:rsidP="001D22A4">
      <w:pPr>
        <w:ind w:firstLine="720"/>
        <w:rPr>
          <w:rFonts w:ascii="Arial" w:hAnsi="Arial" w:cs="Arial"/>
          <w:sz w:val="20"/>
          <w:szCs w:val="20"/>
        </w:rPr>
      </w:pPr>
      <w:r w:rsidRPr="00480A4A">
        <w:rPr>
          <w:rFonts w:ascii="Arial" w:hAnsi="Arial" w:cs="Arial"/>
          <w:sz w:val="20"/>
          <w:szCs w:val="20"/>
        </w:rPr>
        <w:t>Is it too conspiratorial to suggest that a double-barrel approach of international legal mechanisms (the ICC, the UNSC) and outright coercive force (U.S. military) are deployed to maintain that end, especially as the Chinese bogeyman emerges to threaten the</w:t>
      </w:r>
      <w:r w:rsidR="001D22A4">
        <w:rPr>
          <w:rFonts w:ascii="Arial" w:hAnsi="Arial" w:cs="Arial"/>
          <w:sz w:val="20"/>
          <w:szCs w:val="20"/>
        </w:rPr>
        <w:t xml:space="preserve"> balance of power in the North?</w:t>
      </w:r>
    </w:p>
    <w:p w:rsidR="001D22A4" w:rsidRDefault="001D22A4" w:rsidP="001D22A4">
      <w:pPr>
        <w:ind w:firstLine="720"/>
        <w:rPr>
          <w:rFonts w:ascii="Arial" w:hAnsi="Arial" w:cs="Arial"/>
          <w:sz w:val="20"/>
          <w:szCs w:val="20"/>
        </w:rPr>
      </w:pPr>
    </w:p>
    <w:p w:rsidR="001D22A4" w:rsidRDefault="00480A4A" w:rsidP="001D22A4">
      <w:pPr>
        <w:ind w:firstLine="720"/>
        <w:rPr>
          <w:rFonts w:ascii="Arial" w:hAnsi="Arial" w:cs="Arial"/>
          <w:sz w:val="20"/>
          <w:szCs w:val="20"/>
        </w:rPr>
      </w:pPr>
      <w:r w:rsidRPr="00480A4A">
        <w:rPr>
          <w:rFonts w:ascii="Arial" w:hAnsi="Arial" w:cs="Arial"/>
          <w:sz w:val="20"/>
          <w:szCs w:val="20"/>
        </w:rPr>
        <w:t xml:space="preserve">This is not to say that the U.S. pulls the strings of everything that goes on in Africa (after all, the global economic architecture does most of the work of channeling resources), but it is worth questioning what AFRICOM is doing with a base in Djibouti, an antiterrorism program functioning across nine </w:t>
      </w:r>
      <w:proofErr w:type="spellStart"/>
      <w:r w:rsidRPr="00480A4A">
        <w:rPr>
          <w:rFonts w:ascii="Arial" w:hAnsi="Arial" w:cs="Arial"/>
          <w:sz w:val="20"/>
          <w:szCs w:val="20"/>
        </w:rPr>
        <w:t>Sahelian</w:t>
      </w:r>
      <w:proofErr w:type="spellEnd"/>
      <w:r w:rsidRPr="00480A4A">
        <w:rPr>
          <w:rFonts w:ascii="Arial" w:hAnsi="Arial" w:cs="Arial"/>
          <w:sz w:val="20"/>
          <w:szCs w:val="20"/>
        </w:rPr>
        <w:t xml:space="preserve"> countries, a fake-news program called “Operation Objective Voice,” and now 100 soldiers running around central Africa ostensibly to find one man named </w:t>
      </w:r>
      <w:proofErr w:type="spellStart"/>
      <w:r w:rsidRPr="00480A4A">
        <w:rPr>
          <w:rFonts w:ascii="Arial" w:hAnsi="Arial" w:cs="Arial"/>
          <w:sz w:val="20"/>
          <w:szCs w:val="20"/>
        </w:rPr>
        <w:t>Kony</w:t>
      </w:r>
      <w:proofErr w:type="spellEnd"/>
      <w:r w:rsidRPr="00480A4A">
        <w:rPr>
          <w:rFonts w:ascii="Arial" w:hAnsi="Arial" w:cs="Arial"/>
          <w:sz w:val="20"/>
          <w:szCs w:val="20"/>
        </w:rPr>
        <w:t>.</w:t>
      </w:r>
    </w:p>
    <w:p w:rsidR="00480A4A" w:rsidRPr="00480A4A" w:rsidRDefault="001D22A4" w:rsidP="001D22A4">
      <w:pPr>
        <w:ind w:firstLine="720"/>
        <w:rPr>
          <w:rFonts w:ascii="Arial" w:hAnsi="Arial" w:cs="Arial"/>
          <w:sz w:val="20"/>
          <w:szCs w:val="20"/>
        </w:rPr>
      </w:pPr>
      <w:r w:rsidRPr="00480A4A">
        <w:rPr>
          <w:rFonts w:ascii="Arial" w:hAnsi="Arial" w:cs="Arial"/>
          <w:sz w:val="20"/>
          <w:szCs w:val="20"/>
        </w:rPr>
        <w:t xml:space="preserve"> </w:t>
      </w:r>
    </w:p>
    <w:p w:rsidR="001D22A4" w:rsidRDefault="00480A4A" w:rsidP="001D22A4">
      <w:pPr>
        <w:ind w:firstLine="720"/>
        <w:rPr>
          <w:rFonts w:ascii="Arial" w:hAnsi="Arial" w:cs="Arial"/>
          <w:sz w:val="20"/>
          <w:szCs w:val="20"/>
        </w:rPr>
      </w:pPr>
      <w:r w:rsidRPr="00480A4A">
        <w:rPr>
          <w:rFonts w:ascii="Arial" w:hAnsi="Arial" w:cs="Arial"/>
          <w:sz w:val="20"/>
          <w:szCs w:val="20"/>
        </w:rPr>
        <w:t xml:space="preserve">A brief history of the U.S. security institutions in Africa shows that conspiracies like these, seemingly the stuff of a Steven </w:t>
      </w:r>
      <w:proofErr w:type="spellStart"/>
      <w:r w:rsidRPr="00480A4A">
        <w:rPr>
          <w:rFonts w:ascii="Arial" w:hAnsi="Arial" w:cs="Arial"/>
          <w:sz w:val="20"/>
          <w:szCs w:val="20"/>
        </w:rPr>
        <w:t>Soderbergh</w:t>
      </w:r>
      <w:proofErr w:type="spellEnd"/>
      <w:r w:rsidRPr="00480A4A">
        <w:rPr>
          <w:rFonts w:ascii="Arial" w:hAnsi="Arial" w:cs="Arial"/>
          <w:sz w:val="20"/>
          <w:szCs w:val="20"/>
        </w:rPr>
        <w:t xml:space="preserve"> movie, are often quite real. In November 2011, at the annual African Studies Association conference in D.C., Michigan State professor David Wiley gave a blistering 45-minute excoriation of the U.S. military’s involvement in the continent, outlining </w:t>
      </w:r>
      <w:proofErr w:type="gramStart"/>
      <w:r w:rsidRPr="00480A4A">
        <w:rPr>
          <w:rFonts w:ascii="Arial" w:hAnsi="Arial" w:cs="Arial"/>
          <w:sz w:val="20"/>
          <w:szCs w:val="20"/>
        </w:rPr>
        <w:t>DoD’s</w:t>
      </w:r>
      <w:proofErr w:type="gramEnd"/>
      <w:r w:rsidRPr="00480A4A">
        <w:rPr>
          <w:rFonts w:ascii="Arial" w:hAnsi="Arial" w:cs="Arial"/>
          <w:sz w:val="20"/>
          <w:szCs w:val="20"/>
        </w:rPr>
        <w:t xml:space="preserve"> long legacy of antidemocratic and despicable interventions. </w:t>
      </w:r>
      <w:r w:rsidR="001D22A4">
        <w:rPr>
          <w:rFonts w:ascii="Arial" w:hAnsi="Arial" w:cs="Arial"/>
          <w:sz w:val="20"/>
          <w:szCs w:val="20"/>
        </w:rPr>
        <w:t xml:space="preserve">  . . . </w:t>
      </w:r>
    </w:p>
    <w:p w:rsidR="001D22A4" w:rsidRDefault="001D22A4" w:rsidP="001D22A4">
      <w:pPr>
        <w:ind w:firstLine="720"/>
        <w:rPr>
          <w:rFonts w:ascii="Arial" w:hAnsi="Arial" w:cs="Arial"/>
          <w:sz w:val="20"/>
          <w:szCs w:val="20"/>
        </w:rPr>
      </w:pPr>
    </w:p>
    <w:p w:rsidR="001D22A4" w:rsidRPr="00480A4A" w:rsidRDefault="001D22A4" w:rsidP="001D22A4">
      <w:pPr>
        <w:ind w:firstLine="720"/>
        <w:rPr>
          <w:rFonts w:ascii="Arial" w:hAnsi="Arial" w:cs="Arial"/>
          <w:sz w:val="20"/>
          <w:szCs w:val="20"/>
        </w:rPr>
      </w:pPr>
    </w:p>
    <w:p w:rsidR="001D22A4" w:rsidRDefault="001D22A4" w:rsidP="001D22A4">
      <w:pPr>
        <w:ind w:firstLine="720"/>
        <w:rPr>
          <w:rFonts w:ascii="Arial" w:hAnsi="Arial" w:cs="Arial"/>
          <w:sz w:val="20"/>
          <w:szCs w:val="20"/>
        </w:rPr>
      </w:pPr>
      <w:r>
        <w:rPr>
          <w:rFonts w:ascii="Arial" w:hAnsi="Arial" w:cs="Arial"/>
          <w:sz w:val="20"/>
          <w:szCs w:val="20"/>
        </w:rPr>
        <w:t>. . .   R</w:t>
      </w:r>
      <w:r w:rsidR="00480A4A" w:rsidRPr="00480A4A">
        <w:rPr>
          <w:rFonts w:ascii="Arial" w:hAnsi="Arial" w:cs="Arial"/>
          <w:sz w:val="20"/>
          <w:szCs w:val="20"/>
        </w:rPr>
        <w:t>esistance [</w:t>
      </w:r>
      <w:r>
        <w:rPr>
          <w:rFonts w:ascii="Arial" w:hAnsi="Arial" w:cs="Arial"/>
          <w:sz w:val="20"/>
          <w:szCs w:val="20"/>
        </w:rPr>
        <w:t>[</w:t>
      </w:r>
      <w:r w:rsidR="00480A4A" w:rsidRPr="00480A4A">
        <w:rPr>
          <w:rFonts w:ascii="Arial" w:hAnsi="Arial" w:cs="Arial"/>
          <w:sz w:val="20"/>
          <w:szCs w:val="20"/>
        </w:rPr>
        <w:t>of Africanist academics]</w:t>
      </w:r>
      <w:r>
        <w:rPr>
          <w:rFonts w:ascii="Arial" w:hAnsi="Arial" w:cs="Arial"/>
          <w:sz w:val="20"/>
          <w:szCs w:val="20"/>
        </w:rPr>
        <w:t>]</w:t>
      </w:r>
      <w:r w:rsidR="00480A4A" w:rsidRPr="00480A4A">
        <w:rPr>
          <w:rFonts w:ascii="Arial" w:hAnsi="Arial" w:cs="Arial"/>
          <w:sz w:val="20"/>
          <w:szCs w:val="20"/>
        </w:rPr>
        <w:t xml:space="preserve"> to linkages with and funding from U.S. intelligence agencies and the Pentagon has been so strong because of the long history of Western interventions, the supporting of repressive rulers, and the ventures against legitimate</w:t>
      </w:r>
      <w:r>
        <w:rPr>
          <w:rFonts w:ascii="Arial" w:hAnsi="Arial" w:cs="Arial"/>
          <w:sz w:val="20"/>
          <w:szCs w:val="20"/>
        </w:rPr>
        <w:t xml:space="preserve"> and elected leaders in Africa.</w:t>
      </w:r>
    </w:p>
    <w:p w:rsidR="001D22A4" w:rsidRDefault="001D22A4" w:rsidP="001D22A4">
      <w:pPr>
        <w:ind w:firstLine="720"/>
        <w:rPr>
          <w:rFonts w:ascii="Arial" w:hAnsi="Arial" w:cs="Arial"/>
          <w:sz w:val="20"/>
          <w:szCs w:val="20"/>
        </w:rPr>
      </w:pPr>
    </w:p>
    <w:p w:rsidR="001D22A4" w:rsidRDefault="00480A4A" w:rsidP="001D22A4">
      <w:pPr>
        <w:ind w:firstLine="720"/>
        <w:rPr>
          <w:rFonts w:ascii="Arial" w:hAnsi="Arial" w:cs="Arial"/>
          <w:sz w:val="20"/>
          <w:szCs w:val="20"/>
        </w:rPr>
      </w:pPr>
      <w:r w:rsidRPr="00480A4A">
        <w:rPr>
          <w:rFonts w:ascii="Arial" w:hAnsi="Arial" w:cs="Arial"/>
          <w:sz w:val="20"/>
          <w:szCs w:val="20"/>
        </w:rPr>
        <w:t>For more than 30 years, U.S. military and intelligence agencies have:</w:t>
      </w:r>
      <w:r w:rsidR="001D22A4">
        <w:rPr>
          <w:rFonts w:ascii="Arial" w:hAnsi="Arial" w:cs="Arial"/>
          <w:sz w:val="20"/>
          <w:szCs w:val="20"/>
        </w:rPr>
        <w:t xml:space="preserve"> </w:t>
      </w:r>
      <w:r w:rsidRPr="00480A4A">
        <w:rPr>
          <w:rFonts w:ascii="Arial" w:hAnsi="Arial" w:cs="Arial"/>
          <w:sz w:val="20"/>
          <w:szCs w:val="20"/>
        </w:rPr>
        <w:t>•Provided both direct and covert support to colonial and settler regimes —including the white-minority regime in Southern Rhodesia; the Portuguese colonial regimes in Angola, Mozambique, and Guinea Bissau; and the apartheid regime in South Africa.</w:t>
      </w:r>
      <w:r w:rsidR="001D22A4">
        <w:rPr>
          <w:rFonts w:ascii="Arial" w:hAnsi="Arial" w:cs="Arial"/>
          <w:sz w:val="20"/>
          <w:szCs w:val="20"/>
        </w:rPr>
        <w:t xml:space="preserve"> </w:t>
      </w:r>
      <w:r w:rsidRPr="00480A4A">
        <w:rPr>
          <w:rFonts w:ascii="Arial" w:hAnsi="Arial" w:cs="Arial"/>
          <w:sz w:val="20"/>
          <w:szCs w:val="20"/>
        </w:rPr>
        <w:t>•Subverted progressive leaders and their governments and national liberation movements — including Patrice Lumumba in the Congo, Kwame Nkrumah in Ghana, and Nelson Mandela and the ANC in the apartheid era.</w:t>
      </w:r>
      <w:r w:rsidR="001D22A4">
        <w:rPr>
          <w:rFonts w:ascii="Arial" w:hAnsi="Arial" w:cs="Arial"/>
          <w:sz w:val="20"/>
          <w:szCs w:val="20"/>
        </w:rPr>
        <w:t xml:space="preserve"> </w:t>
      </w:r>
      <w:r w:rsidRPr="00480A4A">
        <w:rPr>
          <w:rFonts w:ascii="Arial" w:hAnsi="Arial" w:cs="Arial"/>
          <w:sz w:val="20"/>
          <w:szCs w:val="20"/>
        </w:rPr>
        <w:t xml:space="preserve">•With other Western intelligence agencies, installed and/or supported dictators such as General Mobutu in Zaire, Idi Amin in Uganda, </w:t>
      </w:r>
      <w:proofErr w:type="spellStart"/>
      <w:r w:rsidRPr="00480A4A">
        <w:rPr>
          <w:rFonts w:ascii="Arial" w:hAnsi="Arial" w:cs="Arial"/>
          <w:sz w:val="20"/>
          <w:szCs w:val="20"/>
        </w:rPr>
        <w:t>Nimeiry</w:t>
      </w:r>
      <w:proofErr w:type="spellEnd"/>
      <w:r w:rsidRPr="00480A4A">
        <w:rPr>
          <w:rFonts w:ascii="Arial" w:hAnsi="Arial" w:cs="Arial"/>
          <w:sz w:val="20"/>
          <w:szCs w:val="20"/>
        </w:rPr>
        <w:t xml:space="preserve"> in Sudan, and </w:t>
      </w:r>
      <w:proofErr w:type="spellStart"/>
      <w:r w:rsidRPr="00480A4A">
        <w:rPr>
          <w:rFonts w:ascii="Arial" w:hAnsi="Arial" w:cs="Arial"/>
          <w:sz w:val="20"/>
          <w:szCs w:val="20"/>
        </w:rPr>
        <w:t>Siad</w:t>
      </w:r>
      <w:proofErr w:type="spellEnd"/>
      <w:r w:rsidRPr="00480A4A">
        <w:rPr>
          <w:rFonts w:ascii="Arial" w:hAnsi="Arial" w:cs="Arial"/>
          <w:sz w:val="20"/>
          <w:szCs w:val="20"/>
        </w:rPr>
        <w:t xml:space="preserve"> Barre in Somalia.</w:t>
      </w:r>
      <w:r w:rsidR="001D22A4">
        <w:rPr>
          <w:rFonts w:ascii="Arial" w:hAnsi="Arial" w:cs="Arial"/>
          <w:sz w:val="20"/>
          <w:szCs w:val="20"/>
        </w:rPr>
        <w:t xml:space="preserve"> </w:t>
      </w:r>
      <w:r w:rsidRPr="00480A4A">
        <w:rPr>
          <w:rFonts w:ascii="Arial" w:hAnsi="Arial" w:cs="Arial"/>
          <w:sz w:val="20"/>
          <w:szCs w:val="20"/>
        </w:rPr>
        <w:lastRenderedPageBreak/>
        <w:t xml:space="preserve">•Fomented civil war and conflicts through direct or indirect covert support for ‘contra’ factions such as UNITA in Angola and </w:t>
      </w:r>
      <w:proofErr w:type="spellStart"/>
      <w:r w:rsidRPr="00480A4A">
        <w:rPr>
          <w:rFonts w:ascii="Arial" w:hAnsi="Arial" w:cs="Arial"/>
          <w:sz w:val="20"/>
          <w:szCs w:val="20"/>
        </w:rPr>
        <w:t>Renamo</w:t>
      </w:r>
      <w:proofErr w:type="spellEnd"/>
      <w:r w:rsidRPr="00480A4A">
        <w:rPr>
          <w:rFonts w:ascii="Arial" w:hAnsi="Arial" w:cs="Arial"/>
          <w:sz w:val="20"/>
          <w:szCs w:val="20"/>
        </w:rPr>
        <w:t xml:space="preserve"> in Mozambique.</w:t>
      </w:r>
      <w:r w:rsidR="001D22A4">
        <w:rPr>
          <w:rFonts w:ascii="Arial" w:hAnsi="Arial" w:cs="Arial"/>
          <w:sz w:val="20"/>
          <w:szCs w:val="20"/>
        </w:rPr>
        <w:t xml:space="preserve">    . . .</w:t>
      </w:r>
    </w:p>
    <w:p w:rsidR="001D22A4" w:rsidRDefault="001D22A4" w:rsidP="001D22A4">
      <w:pPr>
        <w:ind w:firstLine="720"/>
        <w:rPr>
          <w:rFonts w:ascii="Arial" w:hAnsi="Arial" w:cs="Arial"/>
          <w:sz w:val="20"/>
          <w:szCs w:val="20"/>
        </w:rPr>
      </w:pPr>
    </w:p>
    <w:p w:rsidR="00480A4A" w:rsidRPr="00480A4A" w:rsidRDefault="001D22A4" w:rsidP="001D22A4">
      <w:pPr>
        <w:ind w:firstLine="720"/>
        <w:rPr>
          <w:rFonts w:ascii="Arial" w:hAnsi="Arial" w:cs="Arial"/>
          <w:sz w:val="20"/>
          <w:szCs w:val="20"/>
        </w:rPr>
      </w:pPr>
      <w:r w:rsidRPr="00480A4A">
        <w:rPr>
          <w:rFonts w:ascii="Arial" w:hAnsi="Arial" w:cs="Arial"/>
          <w:sz w:val="20"/>
          <w:szCs w:val="20"/>
        </w:rPr>
        <w:t xml:space="preserve"> </w:t>
      </w:r>
    </w:p>
    <w:p w:rsidR="00507EDC" w:rsidRDefault="001D22A4" w:rsidP="001D22A4">
      <w:pPr>
        <w:ind w:firstLine="720"/>
        <w:rPr>
          <w:rFonts w:ascii="Arial" w:hAnsi="Arial" w:cs="Arial"/>
          <w:sz w:val="20"/>
          <w:szCs w:val="20"/>
        </w:rPr>
      </w:pPr>
      <w:r>
        <w:rPr>
          <w:rFonts w:ascii="Arial" w:hAnsi="Arial" w:cs="Arial"/>
          <w:sz w:val="20"/>
          <w:szCs w:val="20"/>
        </w:rPr>
        <w:t xml:space="preserve">. . .   </w:t>
      </w:r>
      <w:r w:rsidR="00480A4A" w:rsidRPr="00480A4A">
        <w:rPr>
          <w:rFonts w:ascii="Arial" w:hAnsi="Arial" w:cs="Arial"/>
          <w:sz w:val="20"/>
          <w:szCs w:val="20"/>
        </w:rPr>
        <w:t>#</w:t>
      </w:r>
      <w:proofErr w:type="spellStart"/>
      <w:r w:rsidR="00480A4A" w:rsidRPr="00480A4A">
        <w:rPr>
          <w:rFonts w:ascii="Arial" w:hAnsi="Arial" w:cs="Arial"/>
          <w:sz w:val="20"/>
          <w:szCs w:val="20"/>
        </w:rPr>
        <w:t>Kony</w:t>
      </w:r>
      <w:proofErr w:type="spellEnd"/>
      <w:r w:rsidR="00480A4A" w:rsidRPr="00480A4A">
        <w:rPr>
          <w:rFonts w:ascii="Arial" w:hAnsi="Arial" w:cs="Arial"/>
          <w:sz w:val="20"/>
          <w:szCs w:val="20"/>
        </w:rPr>
        <w:t xml:space="preserve"> 2012 supports both U.S.-led warfare and </w:t>
      </w:r>
      <w:proofErr w:type="spellStart"/>
      <w:r w:rsidR="00480A4A" w:rsidRPr="00480A4A">
        <w:rPr>
          <w:rFonts w:ascii="Arial" w:hAnsi="Arial" w:cs="Arial"/>
          <w:sz w:val="20"/>
          <w:szCs w:val="20"/>
        </w:rPr>
        <w:t>lawfare</w:t>
      </w:r>
      <w:proofErr w:type="spellEnd"/>
      <w:r w:rsidR="00480A4A" w:rsidRPr="00480A4A">
        <w:rPr>
          <w:rFonts w:ascii="Arial" w:hAnsi="Arial" w:cs="Arial"/>
          <w:sz w:val="20"/>
          <w:szCs w:val="20"/>
        </w:rPr>
        <w:t xml:space="preserve">, and acts as a third member in the unholy trinity: the belligerent humanitarian. The long iconic photo of the Invisible Children boys toting guns as SPLA soldiers look on bemusedly underscores the lusty machismo central to the way they imagine ‘solving’ ‘Africa’. Many of these so-called humanitarians are inseparable from those trained to kill in that they share not only the same desired ends but methods for reaching them as well. </w:t>
      </w:r>
      <w:r>
        <w:rPr>
          <w:rFonts w:ascii="Arial" w:hAnsi="Arial" w:cs="Arial"/>
          <w:sz w:val="20"/>
          <w:szCs w:val="20"/>
        </w:rPr>
        <w:t xml:space="preserve">   . . .   </w:t>
      </w:r>
    </w:p>
    <w:p w:rsidR="00480A4A" w:rsidRDefault="00480A4A" w:rsidP="00480A4A">
      <w:pPr>
        <w:rPr>
          <w:rFonts w:ascii="Arial" w:hAnsi="Arial" w:cs="Arial"/>
          <w:sz w:val="20"/>
          <w:szCs w:val="20"/>
        </w:rPr>
      </w:pPr>
    </w:p>
    <w:p w:rsidR="00480A4A" w:rsidRPr="00480A4A" w:rsidRDefault="00480A4A" w:rsidP="00480A4A">
      <w:pPr>
        <w:ind w:left="1440" w:firstLine="720"/>
        <w:rPr>
          <w:rFonts w:cs="Times New Roman"/>
          <w:sz w:val="20"/>
          <w:szCs w:val="20"/>
        </w:rPr>
      </w:pPr>
      <w:r w:rsidRPr="00480A4A">
        <w:rPr>
          <w:rFonts w:cs="Times New Roman"/>
          <w:sz w:val="20"/>
          <w:szCs w:val="20"/>
        </w:rPr>
        <w:t>--- https://thenewinquiry.com/no-kony-is-an-island-death-and-profit-in-central-africa/</w:t>
      </w:r>
    </w:p>
    <w:p w:rsidR="00480A4A" w:rsidRDefault="00480A4A" w:rsidP="00480A4A">
      <w:pPr>
        <w:rPr>
          <w:rFonts w:ascii="Arial" w:hAnsi="Arial" w:cs="Arial"/>
          <w:sz w:val="20"/>
          <w:szCs w:val="20"/>
        </w:rPr>
      </w:pPr>
    </w:p>
    <w:p w:rsidR="00480A4A" w:rsidRDefault="00480A4A" w:rsidP="00480A4A">
      <w:pPr>
        <w:rPr>
          <w:rFonts w:ascii="Arial" w:hAnsi="Arial" w:cs="Arial"/>
          <w:sz w:val="20"/>
          <w:szCs w:val="20"/>
        </w:rPr>
      </w:pPr>
    </w:p>
    <w:p w:rsidR="00480A4A" w:rsidRDefault="00480A4A" w:rsidP="00480A4A">
      <w:pPr>
        <w:rPr>
          <w:rFonts w:ascii="Arial" w:hAnsi="Arial" w:cs="Arial"/>
          <w:sz w:val="20"/>
          <w:szCs w:val="20"/>
        </w:rPr>
      </w:pPr>
    </w:p>
    <w:p w:rsidR="00480A4A" w:rsidRDefault="00480A4A" w:rsidP="00480A4A">
      <w:pPr>
        <w:rPr>
          <w:rFonts w:ascii="Arial" w:hAnsi="Arial" w:cs="Arial"/>
          <w:sz w:val="20"/>
          <w:szCs w:val="20"/>
        </w:rPr>
      </w:pPr>
    </w:p>
    <w:p w:rsidR="00507EDC" w:rsidRDefault="00507EDC" w:rsidP="00507EDC">
      <w:pPr>
        <w:rPr>
          <w:rFonts w:ascii="Arial" w:hAnsi="Arial" w:cs="Arial"/>
          <w:sz w:val="20"/>
          <w:szCs w:val="20"/>
        </w:rPr>
      </w:pPr>
    </w:p>
    <w:p w:rsidR="008E6289" w:rsidRDefault="008E6289" w:rsidP="008E6289">
      <w:pPr>
        <w:rPr>
          <w:rFonts w:ascii="Arial" w:hAnsi="Arial" w:cs="Arial"/>
          <w:sz w:val="20"/>
          <w:szCs w:val="20"/>
        </w:rPr>
      </w:pPr>
    </w:p>
    <w:p w:rsidR="008E6289" w:rsidRDefault="008E6289" w:rsidP="008E6289">
      <w:pPr>
        <w:rPr>
          <w:rFonts w:ascii="Arial" w:hAnsi="Arial" w:cs="Arial"/>
          <w:sz w:val="20"/>
          <w:szCs w:val="20"/>
        </w:rPr>
      </w:pPr>
    </w:p>
    <w:p w:rsidR="00393556" w:rsidRDefault="00393556" w:rsidP="008E6289">
      <w:pPr>
        <w:rPr>
          <w:rFonts w:ascii="Arial" w:hAnsi="Arial" w:cs="Arial"/>
          <w:sz w:val="20"/>
          <w:szCs w:val="20"/>
        </w:rPr>
      </w:pPr>
    </w:p>
    <w:p w:rsidR="00393556" w:rsidRPr="008E6289" w:rsidRDefault="00393556" w:rsidP="008E6289">
      <w:pPr>
        <w:rPr>
          <w:rFonts w:ascii="Arial" w:hAnsi="Arial" w:cs="Arial"/>
          <w:sz w:val="20"/>
          <w:szCs w:val="20"/>
        </w:rPr>
      </w:pPr>
    </w:p>
    <w:p w:rsidR="008E6289" w:rsidRPr="008E6289" w:rsidRDefault="008E6289" w:rsidP="008E6289">
      <w:pPr>
        <w:rPr>
          <w:rFonts w:ascii="Arial" w:hAnsi="Arial" w:cs="Arial"/>
          <w:sz w:val="20"/>
          <w:szCs w:val="20"/>
        </w:rPr>
      </w:pPr>
      <w:r w:rsidRPr="008E6289">
        <w:rPr>
          <w:rFonts w:ascii="Arial" w:hAnsi="Arial" w:cs="Arial"/>
          <w:sz w:val="20"/>
          <w:szCs w:val="20"/>
        </w:rPr>
        <w:t xml:space="preserve">  </w:t>
      </w:r>
    </w:p>
    <w:p w:rsidR="008E6289" w:rsidRPr="008E6289" w:rsidRDefault="008E6289" w:rsidP="008E6289">
      <w:pPr>
        <w:rPr>
          <w:rFonts w:cs="Times New Roman"/>
          <w:sz w:val="28"/>
          <w:szCs w:val="28"/>
        </w:rPr>
      </w:pPr>
      <w:r w:rsidRPr="008E6289">
        <w:rPr>
          <w:rFonts w:cs="Times New Roman"/>
          <w:sz w:val="28"/>
          <w:szCs w:val="28"/>
        </w:rPr>
        <w:t>“The ‘War on Terror’ as political violence”</w:t>
      </w:r>
    </w:p>
    <w:p w:rsidR="008E6289" w:rsidRPr="008E6289" w:rsidRDefault="008E6289" w:rsidP="008E6289">
      <w:pPr>
        <w:rPr>
          <w:rFonts w:ascii="Arial" w:hAnsi="Arial" w:cs="Arial"/>
          <w:sz w:val="20"/>
          <w:szCs w:val="20"/>
        </w:rPr>
      </w:pPr>
      <w:r w:rsidRPr="008E6289">
        <w:rPr>
          <w:rFonts w:ascii="Arial" w:hAnsi="Arial" w:cs="Arial"/>
          <w:sz w:val="20"/>
          <w:szCs w:val="20"/>
        </w:rPr>
        <w:t>Richard Seymour</w:t>
      </w:r>
    </w:p>
    <w:p w:rsidR="008E6289" w:rsidRDefault="008E6289" w:rsidP="008E6289">
      <w:pPr>
        <w:rPr>
          <w:rFonts w:ascii="Arial" w:hAnsi="Arial" w:cs="Arial"/>
          <w:sz w:val="20"/>
          <w:szCs w:val="20"/>
        </w:rPr>
      </w:pPr>
    </w:p>
    <w:p w:rsidR="008E6289" w:rsidRDefault="008E6289" w:rsidP="008E6289">
      <w:pPr>
        <w:rPr>
          <w:rFonts w:ascii="Arial" w:hAnsi="Arial" w:cs="Arial"/>
          <w:sz w:val="20"/>
          <w:szCs w:val="20"/>
        </w:rPr>
      </w:pPr>
    </w:p>
    <w:p w:rsidR="008E6289" w:rsidRDefault="008E6289" w:rsidP="008E6289">
      <w:pPr>
        <w:ind w:firstLine="720"/>
        <w:rPr>
          <w:rFonts w:ascii="Arial" w:hAnsi="Arial" w:cs="Arial"/>
          <w:sz w:val="20"/>
          <w:szCs w:val="20"/>
        </w:rPr>
      </w:pPr>
      <w:r w:rsidRPr="008E6289">
        <w:rPr>
          <w:rFonts w:ascii="Arial" w:hAnsi="Arial" w:cs="Arial"/>
          <w:sz w:val="20"/>
          <w:szCs w:val="20"/>
        </w:rPr>
        <w:t>One of the oddities of the ‘War on Terror’ is that there remains no clear, universally</w:t>
      </w:r>
      <w:r>
        <w:rPr>
          <w:rFonts w:ascii="Arial" w:hAnsi="Arial" w:cs="Arial"/>
          <w:sz w:val="20"/>
          <w:szCs w:val="20"/>
        </w:rPr>
        <w:t xml:space="preserve"> agreed-upon </w:t>
      </w:r>
      <w:r w:rsidRPr="008E6289">
        <w:rPr>
          <w:rFonts w:ascii="Arial" w:hAnsi="Arial" w:cs="Arial"/>
          <w:sz w:val="20"/>
          <w:szCs w:val="20"/>
        </w:rPr>
        <w:t>definition of its key referent, terrorism. Notwithstanding such</w:t>
      </w:r>
      <w:r>
        <w:rPr>
          <w:rFonts w:ascii="Arial" w:hAnsi="Arial" w:cs="Arial"/>
          <w:sz w:val="20"/>
          <w:szCs w:val="20"/>
        </w:rPr>
        <w:t xml:space="preserve"> </w:t>
      </w:r>
      <w:r w:rsidRPr="008E6289">
        <w:rPr>
          <w:rFonts w:ascii="Arial" w:hAnsi="Arial" w:cs="Arial"/>
          <w:sz w:val="20"/>
          <w:szCs w:val="20"/>
        </w:rPr>
        <w:t>indeterminacy, the term operates doubly in a descriptive and prescriptive capacity.</w:t>
      </w:r>
      <w:r>
        <w:rPr>
          <w:rFonts w:ascii="Arial" w:hAnsi="Arial" w:cs="Arial"/>
          <w:sz w:val="20"/>
          <w:szCs w:val="20"/>
        </w:rPr>
        <w:t xml:space="preserve"> </w:t>
      </w:r>
      <w:r w:rsidRPr="008E6289">
        <w:rPr>
          <w:rFonts w:ascii="Arial" w:hAnsi="Arial" w:cs="Arial"/>
          <w:sz w:val="20"/>
          <w:szCs w:val="20"/>
        </w:rPr>
        <w:t>Terrorism both describes a form of (illegitimate) political violence and a primary justification for (legitimate) political violence. In the context of the ‘War on Terror’,</w:t>
      </w:r>
      <w:r>
        <w:rPr>
          <w:rFonts w:ascii="Arial" w:hAnsi="Arial" w:cs="Arial"/>
          <w:sz w:val="20"/>
          <w:szCs w:val="20"/>
        </w:rPr>
        <w:t xml:space="preserve"> </w:t>
      </w:r>
      <w:r w:rsidRPr="008E6289">
        <w:rPr>
          <w:rFonts w:ascii="Arial" w:hAnsi="Arial" w:cs="Arial"/>
          <w:sz w:val="20"/>
          <w:szCs w:val="20"/>
        </w:rPr>
        <w:t>connotations of epic and indiscriminate brutality accrue to that political violence</w:t>
      </w:r>
      <w:r>
        <w:rPr>
          <w:rFonts w:ascii="Arial" w:hAnsi="Arial" w:cs="Arial"/>
          <w:sz w:val="20"/>
          <w:szCs w:val="20"/>
        </w:rPr>
        <w:t xml:space="preserve"> </w:t>
      </w:r>
      <w:r w:rsidRPr="008E6289">
        <w:rPr>
          <w:rFonts w:ascii="Arial" w:hAnsi="Arial" w:cs="Arial"/>
          <w:sz w:val="20"/>
          <w:szCs w:val="20"/>
        </w:rPr>
        <w:t>branded terrorism, while its purported opposite is held to be limited by the humane</w:t>
      </w:r>
      <w:r>
        <w:rPr>
          <w:rFonts w:ascii="Arial" w:hAnsi="Arial" w:cs="Arial"/>
          <w:sz w:val="20"/>
          <w:szCs w:val="20"/>
        </w:rPr>
        <w:t xml:space="preserve"> </w:t>
      </w:r>
      <w:r w:rsidRPr="008E6289">
        <w:rPr>
          <w:rFonts w:ascii="Arial" w:hAnsi="Arial" w:cs="Arial"/>
          <w:sz w:val="20"/>
          <w:szCs w:val="20"/>
        </w:rPr>
        <w:t>values of states united in opposition to terrorism. Violence against troops in</w:t>
      </w:r>
      <w:r>
        <w:rPr>
          <w:rFonts w:ascii="Arial" w:hAnsi="Arial" w:cs="Arial"/>
          <w:sz w:val="20"/>
          <w:szCs w:val="20"/>
        </w:rPr>
        <w:t xml:space="preserve"> </w:t>
      </w:r>
      <w:r w:rsidRPr="008E6289">
        <w:rPr>
          <w:rFonts w:ascii="Arial" w:hAnsi="Arial" w:cs="Arial"/>
          <w:sz w:val="20"/>
          <w:szCs w:val="20"/>
        </w:rPr>
        <w:t>occupied Iraq and Afghanistan, though not targeting civilians, is routinely described</w:t>
      </w:r>
      <w:r>
        <w:rPr>
          <w:rFonts w:ascii="Arial" w:hAnsi="Arial" w:cs="Arial"/>
          <w:sz w:val="20"/>
          <w:szCs w:val="20"/>
        </w:rPr>
        <w:t xml:space="preserve"> as terrorism.</w:t>
      </w:r>
    </w:p>
    <w:p w:rsidR="008E6289" w:rsidRDefault="008E6289" w:rsidP="008E6289">
      <w:pPr>
        <w:ind w:firstLine="720"/>
        <w:rPr>
          <w:rFonts w:ascii="Arial" w:hAnsi="Arial" w:cs="Arial"/>
          <w:sz w:val="20"/>
          <w:szCs w:val="20"/>
        </w:rPr>
      </w:pPr>
    </w:p>
    <w:p w:rsidR="008E6289" w:rsidRDefault="008E6289" w:rsidP="008E6289">
      <w:pPr>
        <w:ind w:firstLine="720"/>
        <w:rPr>
          <w:rFonts w:ascii="Arial" w:hAnsi="Arial" w:cs="Arial"/>
          <w:sz w:val="20"/>
          <w:szCs w:val="20"/>
        </w:rPr>
      </w:pPr>
      <w:r w:rsidRPr="008E6289">
        <w:rPr>
          <w:rFonts w:ascii="Arial" w:hAnsi="Arial" w:cs="Arial"/>
          <w:sz w:val="20"/>
          <w:szCs w:val="20"/>
        </w:rPr>
        <w:t xml:space="preserve">The violence of the US and its allies is </w:t>
      </w:r>
      <w:proofErr w:type="spellStart"/>
      <w:r w:rsidRPr="008E6289">
        <w:rPr>
          <w:rFonts w:ascii="Arial" w:hAnsi="Arial" w:cs="Arial"/>
          <w:sz w:val="20"/>
          <w:szCs w:val="20"/>
        </w:rPr>
        <w:t>rationalised</w:t>
      </w:r>
      <w:proofErr w:type="spellEnd"/>
      <w:r w:rsidRPr="008E6289">
        <w:rPr>
          <w:rFonts w:ascii="Arial" w:hAnsi="Arial" w:cs="Arial"/>
          <w:sz w:val="20"/>
          <w:szCs w:val="20"/>
        </w:rPr>
        <w:t xml:space="preserve">, while </w:t>
      </w:r>
      <w:r>
        <w:rPr>
          <w:rFonts w:ascii="Arial" w:hAnsi="Arial" w:cs="Arial"/>
          <w:sz w:val="20"/>
          <w:szCs w:val="20"/>
        </w:rPr>
        <w:t>anti-occupation violence is pre-</w:t>
      </w:r>
      <w:r w:rsidRPr="008E6289">
        <w:rPr>
          <w:rFonts w:ascii="Arial" w:hAnsi="Arial" w:cs="Arial"/>
          <w:sz w:val="20"/>
          <w:szCs w:val="20"/>
        </w:rPr>
        <w:t xml:space="preserve">emptively </w:t>
      </w:r>
      <w:proofErr w:type="spellStart"/>
      <w:r w:rsidRPr="008E6289">
        <w:rPr>
          <w:rFonts w:ascii="Arial" w:hAnsi="Arial" w:cs="Arial"/>
          <w:sz w:val="20"/>
          <w:szCs w:val="20"/>
        </w:rPr>
        <w:t>pathologised</w:t>
      </w:r>
      <w:proofErr w:type="spellEnd"/>
      <w:r w:rsidRPr="008E6289">
        <w:rPr>
          <w:rFonts w:ascii="Arial" w:hAnsi="Arial" w:cs="Arial"/>
          <w:sz w:val="20"/>
          <w:szCs w:val="20"/>
        </w:rPr>
        <w:t>, its motives ascribed to an anti-modern and illiberal reflux.</w:t>
      </w:r>
    </w:p>
    <w:p w:rsidR="008E6289" w:rsidRDefault="008E6289" w:rsidP="008E6289">
      <w:pPr>
        <w:ind w:firstLine="720"/>
        <w:rPr>
          <w:rFonts w:ascii="Arial" w:hAnsi="Arial" w:cs="Arial"/>
          <w:sz w:val="20"/>
          <w:szCs w:val="20"/>
        </w:rPr>
      </w:pPr>
    </w:p>
    <w:p w:rsidR="008E6289" w:rsidRDefault="008E6289" w:rsidP="008E6289">
      <w:pPr>
        <w:ind w:firstLine="720"/>
        <w:rPr>
          <w:rFonts w:ascii="Arial" w:hAnsi="Arial" w:cs="Arial"/>
          <w:sz w:val="20"/>
          <w:szCs w:val="20"/>
        </w:rPr>
      </w:pPr>
      <w:r w:rsidRPr="008E6289">
        <w:rPr>
          <w:rFonts w:ascii="Arial" w:hAnsi="Arial" w:cs="Arial"/>
          <w:sz w:val="20"/>
          <w:szCs w:val="20"/>
        </w:rPr>
        <w:t>In the ‘war on terror’, a caste of Euro-American states is permitted the full range</w:t>
      </w:r>
      <w:r>
        <w:rPr>
          <w:rFonts w:ascii="Arial" w:hAnsi="Arial" w:cs="Arial"/>
          <w:sz w:val="20"/>
          <w:szCs w:val="20"/>
        </w:rPr>
        <w:t xml:space="preserve"> </w:t>
      </w:r>
      <w:r w:rsidRPr="008E6289">
        <w:rPr>
          <w:rFonts w:ascii="Arial" w:hAnsi="Arial" w:cs="Arial"/>
          <w:sz w:val="20"/>
          <w:szCs w:val="20"/>
        </w:rPr>
        <w:t>of kinetic force. They are opposed to a subterranean and disarticulated network of</w:t>
      </w:r>
      <w:r>
        <w:rPr>
          <w:rFonts w:ascii="Arial" w:hAnsi="Arial" w:cs="Arial"/>
          <w:sz w:val="20"/>
          <w:szCs w:val="20"/>
        </w:rPr>
        <w:t xml:space="preserve"> </w:t>
      </w:r>
      <w:r w:rsidRPr="008E6289">
        <w:rPr>
          <w:rFonts w:ascii="Arial" w:hAnsi="Arial" w:cs="Arial"/>
          <w:sz w:val="20"/>
          <w:szCs w:val="20"/>
        </w:rPr>
        <w:t xml:space="preserve">non-state actors with whom there can be no </w:t>
      </w:r>
      <w:r>
        <w:rPr>
          <w:rFonts w:ascii="Arial" w:hAnsi="Arial" w:cs="Arial"/>
          <w:sz w:val="20"/>
          <w:szCs w:val="20"/>
        </w:rPr>
        <w:t xml:space="preserve">negotiations and whose means of violence are </w:t>
      </w:r>
      <w:proofErr w:type="spellStart"/>
      <w:r>
        <w:rPr>
          <w:rFonts w:ascii="Arial" w:hAnsi="Arial" w:cs="Arial"/>
          <w:sz w:val="20"/>
          <w:szCs w:val="20"/>
        </w:rPr>
        <w:t>criminalised</w:t>
      </w:r>
      <w:proofErr w:type="spellEnd"/>
      <w:r>
        <w:rPr>
          <w:rFonts w:ascii="Arial" w:hAnsi="Arial" w:cs="Arial"/>
          <w:sz w:val="20"/>
          <w:szCs w:val="20"/>
        </w:rPr>
        <w:t xml:space="preserve">. </w:t>
      </w:r>
      <w:r w:rsidRPr="008E6289">
        <w:rPr>
          <w:rFonts w:ascii="Arial" w:hAnsi="Arial" w:cs="Arial"/>
          <w:sz w:val="20"/>
          <w:szCs w:val="20"/>
        </w:rPr>
        <w:t>Political violence in the ‘War on Terror’ has been coded in</w:t>
      </w:r>
      <w:r>
        <w:rPr>
          <w:rFonts w:ascii="Arial" w:hAnsi="Arial" w:cs="Arial"/>
          <w:sz w:val="20"/>
          <w:szCs w:val="20"/>
        </w:rPr>
        <w:t xml:space="preserve"> </w:t>
      </w:r>
      <w:r w:rsidRPr="008E6289">
        <w:rPr>
          <w:rFonts w:ascii="Arial" w:hAnsi="Arial" w:cs="Arial"/>
          <w:sz w:val="20"/>
          <w:szCs w:val="20"/>
        </w:rPr>
        <w:t>the tropes of (magnanimous, rational, humane) empire versus (illiberal, irrational,</w:t>
      </w:r>
      <w:r>
        <w:rPr>
          <w:rFonts w:ascii="Arial" w:hAnsi="Arial" w:cs="Arial"/>
          <w:sz w:val="20"/>
          <w:szCs w:val="20"/>
        </w:rPr>
        <w:t xml:space="preserve"> </w:t>
      </w:r>
      <w:r w:rsidRPr="008E6289">
        <w:rPr>
          <w:rFonts w:ascii="Arial" w:hAnsi="Arial" w:cs="Arial"/>
          <w:sz w:val="20"/>
          <w:szCs w:val="20"/>
        </w:rPr>
        <w:t>s</w:t>
      </w:r>
      <w:r>
        <w:rPr>
          <w:rFonts w:ascii="Arial" w:hAnsi="Arial" w:cs="Arial"/>
          <w:sz w:val="20"/>
          <w:szCs w:val="20"/>
        </w:rPr>
        <w:t>uspicious) ‘native fanaticism’.</w:t>
      </w:r>
    </w:p>
    <w:p w:rsidR="008E6289" w:rsidRDefault="008E6289" w:rsidP="008E6289">
      <w:pPr>
        <w:ind w:firstLine="720"/>
        <w:rPr>
          <w:rFonts w:ascii="Arial" w:hAnsi="Arial" w:cs="Arial"/>
          <w:sz w:val="20"/>
          <w:szCs w:val="20"/>
        </w:rPr>
      </w:pPr>
    </w:p>
    <w:p w:rsidR="00507EDC" w:rsidRDefault="008E6289" w:rsidP="008E6289">
      <w:pPr>
        <w:ind w:firstLine="720"/>
        <w:rPr>
          <w:rFonts w:ascii="Arial" w:hAnsi="Arial" w:cs="Arial"/>
          <w:sz w:val="20"/>
          <w:szCs w:val="20"/>
        </w:rPr>
      </w:pPr>
      <w:r w:rsidRPr="008E6289">
        <w:rPr>
          <w:rFonts w:ascii="Arial" w:hAnsi="Arial" w:cs="Arial"/>
          <w:sz w:val="20"/>
          <w:szCs w:val="20"/>
        </w:rPr>
        <w:t>This binary stratification of global violence advises</w:t>
      </w:r>
      <w:r>
        <w:rPr>
          <w:rFonts w:ascii="Arial" w:hAnsi="Arial" w:cs="Arial"/>
          <w:sz w:val="20"/>
          <w:szCs w:val="20"/>
        </w:rPr>
        <w:t xml:space="preserve"> </w:t>
      </w:r>
      <w:r w:rsidRPr="008E6289">
        <w:rPr>
          <w:rFonts w:ascii="Arial" w:hAnsi="Arial" w:cs="Arial"/>
          <w:sz w:val="20"/>
          <w:szCs w:val="20"/>
        </w:rPr>
        <w:t xml:space="preserve">against what Robert </w:t>
      </w:r>
      <w:proofErr w:type="spellStart"/>
      <w:r w:rsidRPr="008E6289">
        <w:rPr>
          <w:rFonts w:ascii="Arial" w:hAnsi="Arial" w:cs="Arial"/>
          <w:sz w:val="20"/>
          <w:szCs w:val="20"/>
        </w:rPr>
        <w:t>Vitalis</w:t>
      </w:r>
      <w:proofErr w:type="spellEnd"/>
      <w:r w:rsidRPr="008E6289">
        <w:rPr>
          <w:rFonts w:ascii="Arial" w:hAnsi="Arial" w:cs="Arial"/>
          <w:sz w:val="20"/>
          <w:szCs w:val="20"/>
        </w:rPr>
        <w:t xml:space="preserve"> (2000) refers to as the “norm against noticing” the impact</w:t>
      </w:r>
      <w:r>
        <w:rPr>
          <w:rFonts w:ascii="Arial" w:hAnsi="Arial" w:cs="Arial"/>
          <w:sz w:val="20"/>
          <w:szCs w:val="20"/>
        </w:rPr>
        <w:t xml:space="preserve"> </w:t>
      </w:r>
      <w:r w:rsidRPr="008E6289">
        <w:rPr>
          <w:rFonts w:ascii="Arial" w:hAnsi="Arial" w:cs="Arial"/>
          <w:sz w:val="20"/>
          <w:szCs w:val="20"/>
        </w:rPr>
        <w:t>of race and caste on contemporary international politics.</w:t>
      </w:r>
      <w:r>
        <w:rPr>
          <w:rFonts w:ascii="Arial" w:hAnsi="Arial" w:cs="Arial"/>
          <w:sz w:val="20"/>
          <w:szCs w:val="20"/>
        </w:rPr>
        <w:t xml:space="preserve"> </w:t>
      </w:r>
      <w:r w:rsidRPr="008E6289">
        <w:rPr>
          <w:rFonts w:ascii="Arial" w:hAnsi="Arial" w:cs="Arial"/>
          <w:sz w:val="20"/>
          <w:szCs w:val="20"/>
        </w:rPr>
        <w:t>This chapter will consider the different forms of political violence that have been</w:t>
      </w:r>
      <w:r>
        <w:rPr>
          <w:rFonts w:ascii="Arial" w:hAnsi="Arial" w:cs="Arial"/>
          <w:sz w:val="20"/>
          <w:szCs w:val="20"/>
        </w:rPr>
        <w:t xml:space="preserve"> </w:t>
      </w:r>
      <w:r w:rsidRPr="008E6289">
        <w:rPr>
          <w:rFonts w:ascii="Arial" w:hAnsi="Arial" w:cs="Arial"/>
          <w:sz w:val="20"/>
          <w:szCs w:val="20"/>
        </w:rPr>
        <w:t>deployed in the major theatres of the ‘war on terror’, particularly in light of the</w:t>
      </w:r>
      <w:r>
        <w:rPr>
          <w:rFonts w:ascii="Arial" w:hAnsi="Arial" w:cs="Arial"/>
          <w:sz w:val="20"/>
          <w:szCs w:val="20"/>
        </w:rPr>
        <w:t xml:space="preserve"> </w:t>
      </w:r>
      <w:r w:rsidRPr="008E6289">
        <w:rPr>
          <w:rFonts w:ascii="Arial" w:hAnsi="Arial" w:cs="Arial"/>
          <w:sz w:val="20"/>
          <w:szCs w:val="20"/>
        </w:rPr>
        <w:t>language used about them. It will argue that the conduct of Euro-American states in</w:t>
      </w:r>
      <w:r>
        <w:rPr>
          <w:rFonts w:ascii="Arial" w:hAnsi="Arial" w:cs="Arial"/>
          <w:sz w:val="20"/>
          <w:szCs w:val="20"/>
        </w:rPr>
        <w:t xml:space="preserve"> </w:t>
      </w:r>
      <w:r w:rsidRPr="008E6289">
        <w:rPr>
          <w:rFonts w:ascii="Arial" w:hAnsi="Arial" w:cs="Arial"/>
          <w:sz w:val="20"/>
          <w:szCs w:val="20"/>
        </w:rPr>
        <w:t>these theatres contradicts their central claims as to what distinguishes their violence,</w:t>
      </w:r>
      <w:r>
        <w:rPr>
          <w:rFonts w:ascii="Arial" w:hAnsi="Arial" w:cs="Arial"/>
          <w:sz w:val="20"/>
          <w:szCs w:val="20"/>
        </w:rPr>
        <w:t xml:space="preserve"> </w:t>
      </w:r>
      <w:r w:rsidRPr="008E6289">
        <w:rPr>
          <w:rFonts w:ascii="Arial" w:hAnsi="Arial" w:cs="Arial"/>
          <w:sz w:val="20"/>
          <w:szCs w:val="20"/>
        </w:rPr>
        <w:t>morally, from that of their opponents</w:t>
      </w:r>
      <w:r>
        <w:rPr>
          <w:rFonts w:ascii="Arial" w:hAnsi="Arial" w:cs="Arial"/>
          <w:sz w:val="20"/>
          <w:szCs w:val="20"/>
        </w:rPr>
        <w:t xml:space="preserve">   . . .</w:t>
      </w:r>
    </w:p>
    <w:p w:rsidR="008E6289" w:rsidRDefault="008E6289" w:rsidP="008E6289">
      <w:pPr>
        <w:rPr>
          <w:rFonts w:ascii="Arial" w:hAnsi="Arial" w:cs="Arial"/>
          <w:sz w:val="20"/>
          <w:szCs w:val="20"/>
        </w:rPr>
      </w:pPr>
    </w:p>
    <w:p w:rsidR="008E6289" w:rsidRDefault="008E6289" w:rsidP="008E6289">
      <w:pPr>
        <w:ind w:left="1440" w:firstLine="720"/>
        <w:rPr>
          <w:rFonts w:cs="Times New Roman"/>
          <w:sz w:val="20"/>
          <w:szCs w:val="20"/>
        </w:rPr>
      </w:pPr>
      <w:r>
        <w:rPr>
          <w:rFonts w:cs="Times New Roman"/>
          <w:sz w:val="20"/>
          <w:szCs w:val="20"/>
        </w:rPr>
        <w:t xml:space="preserve">--- </w:t>
      </w:r>
      <w:r w:rsidRPr="008E6289">
        <w:rPr>
          <w:rFonts w:cs="Times New Roman"/>
          <w:sz w:val="20"/>
          <w:szCs w:val="20"/>
        </w:rPr>
        <w:t>http://www.academia.edu/409376/The_war_on_terror_as_political_violence</w:t>
      </w:r>
    </w:p>
    <w:p w:rsidR="00E86899" w:rsidRDefault="00E86899" w:rsidP="00E86899">
      <w:pPr>
        <w:rPr>
          <w:rFonts w:cs="Times New Roman"/>
          <w:sz w:val="20"/>
          <w:szCs w:val="20"/>
        </w:rPr>
      </w:pPr>
    </w:p>
    <w:p w:rsidR="00E86899" w:rsidRDefault="00E86899" w:rsidP="00E86899">
      <w:pPr>
        <w:rPr>
          <w:rFonts w:cs="Times New Roman"/>
          <w:sz w:val="20"/>
          <w:szCs w:val="20"/>
        </w:rPr>
      </w:pPr>
    </w:p>
    <w:p w:rsidR="00E86899" w:rsidRDefault="00E86899" w:rsidP="00E86899">
      <w:pPr>
        <w:rPr>
          <w:rFonts w:cs="Times New Roman"/>
          <w:sz w:val="20"/>
          <w:szCs w:val="20"/>
        </w:rPr>
      </w:pPr>
    </w:p>
    <w:p w:rsidR="00E86899" w:rsidRDefault="00E86899" w:rsidP="00E86899">
      <w:pPr>
        <w:rPr>
          <w:rFonts w:cs="Times New Roman"/>
          <w:sz w:val="20"/>
          <w:szCs w:val="20"/>
        </w:rPr>
      </w:pPr>
    </w:p>
    <w:p w:rsidR="007A23B7" w:rsidRPr="007A23B7" w:rsidRDefault="007A23B7" w:rsidP="007A23B7">
      <w:pPr>
        <w:rPr>
          <w:rFonts w:cs="Times New Roman"/>
          <w:sz w:val="20"/>
          <w:szCs w:val="20"/>
        </w:rPr>
      </w:pPr>
    </w:p>
    <w:p w:rsidR="007A23B7" w:rsidRPr="007A23B7" w:rsidRDefault="007A23B7" w:rsidP="007A23B7">
      <w:pPr>
        <w:rPr>
          <w:rFonts w:cs="Times New Roman"/>
          <w:sz w:val="28"/>
          <w:szCs w:val="28"/>
        </w:rPr>
      </w:pPr>
      <w:r w:rsidRPr="007A23B7">
        <w:rPr>
          <w:rFonts w:cs="Times New Roman"/>
          <w:sz w:val="28"/>
          <w:szCs w:val="28"/>
        </w:rPr>
        <w:t xml:space="preserve">Donors, aides and </w:t>
      </w:r>
      <w:proofErr w:type="spellStart"/>
      <w:r w:rsidRPr="007A23B7">
        <w:rPr>
          <w:rFonts w:cs="Times New Roman"/>
          <w:sz w:val="28"/>
          <w:szCs w:val="28"/>
        </w:rPr>
        <w:t>remainers</w:t>
      </w:r>
      <w:proofErr w:type="spellEnd"/>
      <w:r w:rsidRPr="007A23B7">
        <w:rPr>
          <w:rFonts w:cs="Times New Roman"/>
          <w:sz w:val="28"/>
          <w:szCs w:val="28"/>
        </w:rPr>
        <w:t xml:space="preserve"> dominate secret Cameron </w:t>
      </w:r>
      <w:proofErr w:type="spellStart"/>
      <w:r w:rsidRPr="007A23B7">
        <w:rPr>
          <w:rFonts w:cs="Times New Roman"/>
          <w:sz w:val="28"/>
          <w:szCs w:val="28"/>
        </w:rPr>
        <w:t>honours</w:t>
      </w:r>
      <w:proofErr w:type="spellEnd"/>
      <w:r w:rsidRPr="007A23B7">
        <w:rPr>
          <w:rFonts w:cs="Times New Roman"/>
          <w:sz w:val="28"/>
          <w:szCs w:val="28"/>
        </w:rPr>
        <w:t xml:space="preserve"> </w:t>
      </w:r>
      <w:proofErr w:type="gramStart"/>
      <w:r w:rsidRPr="007A23B7">
        <w:rPr>
          <w:rFonts w:cs="Times New Roman"/>
          <w:sz w:val="28"/>
          <w:szCs w:val="28"/>
        </w:rPr>
        <w:t>list  -</w:t>
      </w:r>
      <w:proofErr w:type="gramEnd"/>
      <w:r w:rsidRPr="007A23B7">
        <w:rPr>
          <w:rFonts w:cs="Times New Roman"/>
          <w:sz w:val="28"/>
          <w:szCs w:val="28"/>
        </w:rPr>
        <w:t xml:space="preserve">   From Samantha Cameron’s stylist to George Osborne, the former PM’s parting gifts could hardly be more personal</w:t>
      </w:r>
    </w:p>
    <w:p w:rsidR="007A23B7" w:rsidRDefault="007A23B7" w:rsidP="007A23B7">
      <w:pPr>
        <w:rPr>
          <w:rFonts w:cs="Times New Roman"/>
          <w:sz w:val="20"/>
          <w:szCs w:val="20"/>
        </w:rPr>
      </w:pPr>
      <w:r w:rsidRPr="007A23B7">
        <w:rPr>
          <w:rFonts w:cs="Times New Roman"/>
          <w:sz w:val="20"/>
          <w:szCs w:val="20"/>
        </w:rPr>
        <w:t>Haroon Siddique</w:t>
      </w:r>
      <w:r>
        <w:rPr>
          <w:rFonts w:cs="Times New Roman"/>
          <w:sz w:val="20"/>
          <w:szCs w:val="20"/>
        </w:rPr>
        <w:t xml:space="preserve">    -    The Guardian    -   </w:t>
      </w:r>
      <w:r w:rsidRPr="007A23B7">
        <w:rPr>
          <w:rFonts w:cs="Times New Roman"/>
          <w:sz w:val="20"/>
          <w:szCs w:val="20"/>
        </w:rPr>
        <w:t xml:space="preserve">July </w:t>
      </w:r>
      <w:r>
        <w:rPr>
          <w:rFonts w:cs="Times New Roman"/>
          <w:sz w:val="20"/>
          <w:szCs w:val="20"/>
        </w:rPr>
        <w:t xml:space="preserve">31, </w:t>
      </w:r>
      <w:r w:rsidRPr="007A23B7">
        <w:rPr>
          <w:rFonts w:cs="Times New Roman"/>
          <w:sz w:val="20"/>
          <w:szCs w:val="20"/>
        </w:rPr>
        <w:t>2016</w:t>
      </w:r>
    </w:p>
    <w:p w:rsidR="007A23B7" w:rsidRDefault="007A23B7" w:rsidP="007A23B7">
      <w:pPr>
        <w:rPr>
          <w:rFonts w:cs="Times New Roman"/>
          <w:sz w:val="20"/>
          <w:szCs w:val="20"/>
        </w:rPr>
      </w:pPr>
    </w:p>
    <w:p w:rsidR="007A23B7" w:rsidRDefault="007A23B7" w:rsidP="007A23B7">
      <w:pPr>
        <w:rPr>
          <w:rFonts w:cs="Times New Roman"/>
          <w:sz w:val="20"/>
          <w:szCs w:val="20"/>
        </w:rPr>
      </w:pPr>
    </w:p>
    <w:p w:rsidR="007A23B7" w:rsidRDefault="007A23B7" w:rsidP="007A23B7">
      <w:pPr>
        <w:ind w:firstLine="720"/>
        <w:rPr>
          <w:rFonts w:cs="Times New Roman"/>
          <w:sz w:val="20"/>
          <w:szCs w:val="20"/>
        </w:rPr>
      </w:pPr>
      <w:r w:rsidRPr="007A23B7">
        <w:rPr>
          <w:rFonts w:cs="Times New Roman"/>
          <w:sz w:val="20"/>
          <w:szCs w:val="20"/>
        </w:rPr>
        <w:t>David Cameron announces resignation after the EU referendum result,</w:t>
      </w:r>
      <w:r>
        <w:rPr>
          <w:rFonts w:cs="Times New Roman"/>
          <w:sz w:val="20"/>
          <w:szCs w:val="20"/>
        </w:rPr>
        <w:t xml:space="preserve"> London, UK - 24 Jun 2016.</w:t>
      </w:r>
      <w:r w:rsidRPr="007A23B7">
        <w:rPr>
          <w:rFonts w:cs="Times New Roman"/>
          <w:sz w:val="20"/>
          <w:szCs w:val="20"/>
        </w:rPr>
        <w:t xml:space="preserve">  </w:t>
      </w:r>
      <w:r>
        <w:rPr>
          <w:rFonts w:cs="Times New Roman"/>
          <w:sz w:val="20"/>
          <w:szCs w:val="20"/>
        </w:rPr>
        <w:t xml:space="preserve"> . . .  </w:t>
      </w:r>
      <w:r w:rsidRPr="007A23B7">
        <w:rPr>
          <w:rFonts w:cs="Times New Roman"/>
          <w:sz w:val="20"/>
          <w:szCs w:val="20"/>
        </w:rPr>
        <w:t>Significant party donors are expected to be among those rewa</w:t>
      </w:r>
      <w:r>
        <w:rPr>
          <w:rFonts w:cs="Times New Roman"/>
          <w:sz w:val="20"/>
          <w:szCs w:val="20"/>
        </w:rPr>
        <w:t xml:space="preserve">rded in his final </w:t>
      </w:r>
      <w:proofErr w:type="spellStart"/>
      <w:r>
        <w:rPr>
          <w:rFonts w:cs="Times New Roman"/>
          <w:sz w:val="20"/>
          <w:szCs w:val="20"/>
        </w:rPr>
        <w:t>honours</w:t>
      </w:r>
      <w:proofErr w:type="spellEnd"/>
      <w:r>
        <w:rPr>
          <w:rFonts w:cs="Times New Roman"/>
          <w:sz w:val="20"/>
          <w:szCs w:val="20"/>
        </w:rPr>
        <w:t xml:space="preserve"> list.</w:t>
      </w:r>
    </w:p>
    <w:p w:rsidR="007A23B7" w:rsidRPr="007A23B7" w:rsidRDefault="007A23B7" w:rsidP="007A23B7">
      <w:pPr>
        <w:ind w:firstLine="720"/>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Senior figures in the failed campaign to keep Britain in the EU are to be handed </w:t>
      </w:r>
      <w:proofErr w:type="spellStart"/>
      <w:r w:rsidRPr="007A23B7">
        <w:rPr>
          <w:rFonts w:cs="Times New Roman"/>
          <w:sz w:val="20"/>
          <w:szCs w:val="20"/>
        </w:rPr>
        <w:t>honours</w:t>
      </w:r>
      <w:proofErr w:type="spellEnd"/>
      <w:r w:rsidRPr="007A23B7">
        <w:rPr>
          <w:rFonts w:cs="Times New Roman"/>
          <w:sz w:val="20"/>
          <w:szCs w:val="20"/>
        </w:rPr>
        <w:t xml:space="preserve"> as one of David Cameron’s last acts as prime minister, according to a list leaked to the Sunday Times. The list shows Cameron has applied to reward Tory donors, personal aides and remain supporters.</w:t>
      </w:r>
    </w:p>
    <w:p w:rsidR="007A23B7" w:rsidRPr="007A23B7" w:rsidRDefault="007A23B7" w:rsidP="007A23B7">
      <w:pPr>
        <w:rPr>
          <w:rFonts w:cs="Times New Roman"/>
          <w:sz w:val="20"/>
          <w:szCs w:val="20"/>
        </w:rPr>
      </w:pPr>
    </w:p>
    <w:p w:rsidR="007A23B7" w:rsidRDefault="007A23B7" w:rsidP="007A23B7">
      <w:pPr>
        <w:ind w:firstLine="720"/>
        <w:rPr>
          <w:rFonts w:cs="Times New Roman"/>
          <w:sz w:val="20"/>
          <w:szCs w:val="20"/>
        </w:rPr>
      </w:pPr>
      <w:r w:rsidRPr="007A23B7">
        <w:rPr>
          <w:rFonts w:cs="Times New Roman"/>
          <w:sz w:val="20"/>
          <w:szCs w:val="20"/>
        </w:rPr>
        <w:t>It included the following people:</w:t>
      </w:r>
    </w:p>
    <w:p w:rsidR="007A23B7" w:rsidRPr="007A23B7" w:rsidRDefault="007A23B7" w:rsidP="007A23B7">
      <w:pPr>
        <w:ind w:firstLine="720"/>
        <w:rPr>
          <w:rFonts w:cs="Times New Roman"/>
          <w:sz w:val="20"/>
          <w:szCs w:val="20"/>
        </w:rPr>
      </w:pPr>
      <w:r w:rsidRPr="007A23B7">
        <w:rPr>
          <w:rFonts w:cs="Times New Roman"/>
          <w:sz w:val="20"/>
          <w:szCs w:val="20"/>
        </w:rPr>
        <w:t xml:space="preserve"> </w:t>
      </w:r>
    </w:p>
    <w:p w:rsidR="007A23B7" w:rsidRPr="007A23B7" w:rsidRDefault="007A23B7" w:rsidP="007A23B7">
      <w:pPr>
        <w:rPr>
          <w:rFonts w:cs="Times New Roman"/>
          <w:sz w:val="20"/>
          <w:szCs w:val="20"/>
        </w:rPr>
      </w:pPr>
      <w:r w:rsidRPr="007A23B7">
        <w:rPr>
          <w:rFonts w:cs="Times New Roman"/>
          <w:sz w:val="20"/>
          <w:szCs w:val="20"/>
        </w:rPr>
        <w:t xml:space="preserve">  </w:t>
      </w:r>
    </w:p>
    <w:p w:rsidR="007A23B7" w:rsidRPr="007A23B7" w:rsidRDefault="007A23B7" w:rsidP="007A23B7">
      <w:pPr>
        <w:ind w:firstLine="720"/>
        <w:rPr>
          <w:rFonts w:cs="Times New Roman"/>
          <w:sz w:val="20"/>
          <w:szCs w:val="20"/>
        </w:rPr>
      </w:pPr>
      <w:r w:rsidRPr="007A23B7">
        <w:rPr>
          <w:rFonts w:cs="Times New Roman"/>
          <w:sz w:val="20"/>
          <w:szCs w:val="20"/>
        </w:rPr>
        <w:t xml:space="preserve">Ian Taylor, chief executive of Vitol Oil, who has given hundreds of thousands of pounds in donations to the Conservatives. Vitol was among the 2,200 companies found guilty in the US of providing illicit payments to Iraqi officials under the UN oil-for-food </w:t>
      </w:r>
      <w:proofErr w:type="spellStart"/>
      <w:r w:rsidRPr="007A23B7">
        <w:rPr>
          <w:rFonts w:cs="Times New Roman"/>
          <w:sz w:val="20"/>
          <w:szCs w:val="20"/>
        </w:rPr>
        <w:t>programme</w:t>
      </w:r>
      <w:proofErr w:type="spellEnd"/>
      <w:r w:rsidRPr="007A23B7">
        <w:rPr>
          <w:rFonts w:cs="Times New Roman"/>
          <w:sz w:val="20"/>
          <w:szCs w:val="20"/>
        </w:rPr>
        <w:t xml:space="preserve"> and has had scrapes with HM Revenue and Customs over </w:t>
      </w:r>
      <w:proofErr w:type="spellStart"/>
      <w:r w:rsidRPr="007A23B7">
        <w:rPr>
          <w:rFonts w:cs="Times New Roman"/>
          <w:sz w:val="20"/>
          <w:szCs w:val="20"/>
        </w:rPr>
        <w:t>a</w:t>
      </w:r>
      <w:proofErr w:type="spellEnd"/>
      <w:r w:rsidRPr="007A23B7">
        <w:rPr>
          <w:rFonts w:cs="Times New Roman"/>
          <w:sz w:val="20"/>
          <w:szCs w:val="20"/>
        </w:rPr>
        <w:t xml:space="preserve"> employee benefit scheme for senior staff it set up but later dismantled. Proposed award: knighthood.</w:t>
      </w:r>
      <w:r>
        <w:rPr>
          <w:rFonts w:cs="Times New Roman"/>
          <w:sz w:val="20"/>
          <w:szCs w:val="20"/>
        </w:rPr>
        <w:t xml:space="preserve"> </w:t>
      </w:r>
      <w:r w:rsidRPr="007A23B7">
        <w:rPr>
          <w:rFonts w:cs="Times New Roman"/>
          <w:sz w:val="20"/>
          <w:szCs w:val="20"/>
        </w:rPr>
        <w:t xml:space="preserve"> This article was amended on 4 August 2016 to clarify a reference to Vitol being found guilty in the US of providing illicit payments to Iraqi officials under the UN oil-for-food </w:t>
      </w:r>
      <w:proofErr w:type="spellStart"/>
      <w:r w:rsidRPr="007A23B7">
        <w:rPr>
          <w:rFonts w:cs="Times New Roman"/>
          <w:sz w:val="20"/>
          <w:szCs w:val="20"/>
        </w:rPr>
        <w:t>programme</w:t>
      </w:r>
      <w:proofErr w:type="spellEnd"/>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Andrew Cook, gave £250,000 to </w:t>
      </w:r>
      <w:proofErr w:type="gramStart"/>
      <w:r w:rsidRPr="007A23B7">
        <w:rPr>
          <w:rFonts w:cs="Times New Roman"/>
          <w:sz w:val="20"/>
          <w:szCs w:val="20"/>
        </w:rPr>
        <w:t>the remain</w:t>
      </w:r>
      <w:proofErr w:type="gramEnd"/>
      <w:r w:rsidRPr="007A23B7">
        <w:rPr>
          <w:rFonts w:cs="Times New Roman"/>
          <w:sz w:val="20"/>
          <w:szCs w:val="20"/>
        </w:rPr>
        <w:t xml:space="preserve"> campaign and has donated £1m to the Tories over the past decade. He was embroiled in controversy in 2010 when he successfully lobbied for the cancellation of a government loan to a promising engineering company, admitting that he had wanted to invest in it himself. Proposed award: knighthood.</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Philip Hammond, now chancellor, was foreign secretary under Cameron. He launched a government report during the referendum campaign that rejected each of the alternatives to EU membership. Proposed award: knight commander of the order of St Michael and St George (KCMG).</w:t>
      </w:r>
    </w:p>
    <w:p w:rsidR="007A23B7" w:rsidRPr="007A23B7" w:rsidRDefault="007A23B7" w:rsidP="007A23B7">
      <w:pPr>
        <w:rPr>
          <w:rFonts w:cs="Times New Roman"/>
          <w:sz w:val="20"/>
          <w:szCs w:val="20"/>
        </w:rPr>
      </w:pPr>
    </w:p>
    <w:p w:rsidR="007A23B7" w:rsidRDefault="007A23B7" w:rsidP="007A23B7">
      <w:pPr>
        <w:ind w:firstLine="720"/>
        <w:rPr>
          <w:rFonts w:cs="Times New Roman"/>
          <w:sz w:val="20"/>
          <w:szCs w:val="20"/>
        </w:rPr>
      </w:pPr>
      <w:r w:rsidRPr="007A23B7">
        <w:rPr>
          <w:rFonts w:cs="Times New Roman"/>
          <w:sz w:val="20"/>
          <w:szCs w:val="20"/>
        </w:rPr>
        <w:t xml:space="preserve">David </w:t>
      </w:r>
      <w:proofErr w:type="spellStart"/>
      <w:r w:rsidRPr="007A23B7">
        <w:rPr>
          <w:rFonts w:cs="Times New Roman"/>
          <w:sz w:val="20"/>
          <w:szCs w:val="20"/>
        </w:rPr>
        <w:t>Lidington</w:t>
      </w:r>
      <w:proofErr w:type="spellEnd"/>
      <w:r w:rsidRPr="007A23B7">
        <w:rPr>
          <w:rFonts w:cs="Times New Roman"/>
          <w:sz w:val="20"/>
          <w:szCs w:val="20"/>
        </w:rPr>
        <w:t xml:space="preserve">, Europe minister under Cameron, was also prominent in </w:t>
      </w:r>
      <w:proofErr w:type="gramStart"/>
      <w:r w:rsidRPr="007A23B7">
        <w:rPr>
          <w:rFonts w:cs="Times New Roman"/>
          <w:sz w:val="20"/>
          <w:szCs w:val="20"/>
        </w:rPr>
        <w:t>the remain</w:t>
      </w:r>
      <w:proofErr w:type="gramEnd"/>
      <w:r w:rsidRPr="007A23B7">
        <w:rPr>
          <w:rFonts w:cs="Times New Roman"/>
          <w:sz w:val="20"/>
          <w:szCs w:val="20"/>
        </w:rPr>
        <w:t xml:space="preserve"> campaign, arguing that the case for Brexit was confusing, contradictory, nonsense. Proposed award: KCMG.</w:t>
      </w:r>
    </w:p>
    <w:p w:rsidR="007A23B7" w:rsidRPr="007A23B7" w:rsidRDefault="007A23B7" w:rsidP="007A23B7">
      <w:pPr>
        <w:ind w:firstLine="720"/>
        <w:rPr>
          <w:rFonts w:cs="Times New Roman"/>
          <w:sz w:val="20"/>
          <w:szCs w:val="20"/>
        </w:rPr>
      </w:pPr>
      <w:r w:rsidRPr="007A23B7">
        <w:rPr>
          <w:rFonts w:cs="Times New Roman"/>
          <w:sz w:val="20"/>
          <w:szCs w:val="20"/>
        </w:rPr>
        <w:t xml:space="preserve"> </w:t>
      </w:r>
    </w:p>
    <w:p w:rsidR="007A23B7" w:rsidRPr="007A23B7" w:rsidRDefault="007A23B7" w:rsidP="007A23B7">
      <w:pPr>
        <w:rPr>
          <w:rFonts w:cs="Times New Roman"/>
          <w:sz w:val="20"/>
          <w:szCs w:val="20"/>
        </w:rPr>
      </w:pPr>
      <w:r w:rsidRPr="007A23B7">
        <w:rPr>
          <w:rFonts w:cs="Times New Roman"/>
          <w:sz w:val="20"/>
          <w:szCs w:val="20"/>
        </w:rPr>
        <w:t xml:space="preserve">  </w:t>
      </w:r>
      <w:r>
        <w:rPr>
          <w:rFonts w:cs="Times New Roman"/>
          <w:sz w:val="20"/>
          <w:szCs w:val="20"/>
        </w:rPr>
        <w:tab/>
      </w:r>
      <w:r w:rsidRPr="007A23B7">
        <w:rPr>
          <w:rFonts w:cs="Times New Roman"/>
          <w:sz w:val="20"/>
          <w:szCs w:val="20"/>
        </w:rPr>
        <w:t xml:space="preserve">Former Europe minister Hugo Swire is understood to be receiving a knighthood in the resignation </w:t>
      </w:r>
      <w:proofErr w:type="spellStart"/>
      <w:r w:rsidRPr="007A23B7">
        <w:rPr>
          <w:rFonts w:cs="Times New Roman"/>
          <w:sz w:val="20"/>
          <w:szCs w:val="20"/>
        </w:rPr>
        <w:t>honours</w:t>
      </w:r>
      <w:proofErr w:type="spellEnd"/>
      <w:r w:rsidRPr="007A23B7">
        <w:rPr>
          <w:rFonts w:cs="Times New Roman"/>
          <w:sz w:val="20"/>
          <w:szCs w:val="20"/>
        </w:rPr>
        <w:t xml:space="preserve">. Photograph: Adalberto Roque/AFP/Getty Images </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Hugo Swire was also a Foreign Office minister under Cameron. Despite being a self-avowed Eurosceptic, he put the case for remaining in the EU. Proposed award: KCMG.</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Michael Fallon, </w:t>
      </w:r>
      <w:proofErr w:type="spellStart"/>
      <w:r w:rsidRPr="007A23B7">
        <w:rPr>
          <w:rFonts w:cs="Times New Roman"/>
          <w:sz w:val="20"/>
          <w:szCs w:val="20"/>
        </w:rPr>
        <w:t>defence</w:t>
      </w:r>
      <w:proofErr w:type="spellEnd"/>
      <w:r w:rsidRPr="007A23B7">
        <w:rPr>
          <w:rFonts w:cs="Times New Roman"/>
          <w:sz w:val="20"/>
          <w:szCs w:val="20"/>
        </w:rPr>
        <w:t xml:space="preserve"> secretary, and one of the few to retain his role under Theresa May, also campaigned to stay in the EU, warning that a decision to leave would be “applauded in Moscow”. Proposed award: knight commander of the order of the Bath.</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Patrick </w:t>
      </w:r>
      <w:proofErr w:type="spellStart"/>
      <w:r w:rsidRPr="007A23B7">
        <w:rPr>
          <w:rFonts w:cs="Times New Roman"/>
          <w:sz w:val="20"/>
          <w:szCs w:val="20"/>
        </w:rPr>
        <w:t>McLoughlin</w:t>
      </w:r>
      <w:proofErr w:type="spellEnd"/>
      <w:r w:rsidRPr="007A23B7">
        <w:rPr>
          <w:rFonts w:cs="Times New Roman"/>
          <w:sz w:val="20"/>
          <w:szCs w:val="20"/>
        </w:rPr>
        <w:t xml:space="preserve"> was chief whip and then </w:t>
      </w:r>
      <w:proofErr w:type="gramStart"/>
      <w:r w:rsidRPr="007A23B7">
        <w:rPr>
          <w:rFonts w:cs="Times New Roman"/>
          <w:sz w:val="20"/>
          <w:szCs w:val="20"/>
        </w:rPr>
        <w:t>transport</w:t>
      </w:r>
      <w:proofErr w:type="gramEnd"/>
      <w:r w:rsidRPr="007A23B7">
        <w:rPr>
          <w:rFonts w:cs="Times New Roman"/>
          <w:sz w:val="20"/>
          <w:szCs w:val="20"/>
        </w:rPr>
        <w:t xml:space="preserve"> secretary under Cameron. Proposed award: knighthood.</w:t>
      </w:r>
    </w:p>
    <w:p w:rsidR="007A23B7" w:rsidRPr="007A23B7" w:rsidRDefault="007A23B7" w:rsidP="007A23B7">
      <w:pPr>
        <w:rPr>
          <w:rFonts w:cs="Times New Roman"/>
          <w:sz w:val="20"/>
          <w:szCs w:val="20"/>
        </w:rPr>
      </w:pPr>
    </w:p>
    <w:p w:rsidR="007A23B7" w:rsidRPr="007A23B7" w:rsidRDefault="007A23B7" w:rsidP="007A23B7">
      <w:pPr>
        <w:rPr>
          <w:rFonts w:cs="Times New Roman"/>
          <w:sz w:val="20"/>
          <w:szCs w:val="20"/>
        </w:rPr>
      </w:pPr>
      <w:r w:rsidRPr="007A23B7">
        <w:rPr>
          <w:rFonts w:cs="Times New Roman"/>
          <w:sz w:val="20"/>
          <w:szCs w:val="20"/>
        </w:rPr>
        <w:t xml:space="preserve">  </w:t>
      </w:r>
      <w:r>
        <w:rPr>
          <w:rFonts w:cs="Times New Roman"/>
          <w:sz w:val="20"/>
          <w:szCs w:val="20"/>
        </w:rPr>
        <w:tab/>
      </w:r>
      <w:r w:rsidRPr="007A23B7">
        <w:rPr>
          <w:rFonts w:cs="Times New Roman"/>
          <w:sz w:val="20"/>
          <w:szCs w:val="20"/>
        </w:rPr>
        <w:t xml:space="preserve">George Osborne is expected to be made a companion of </w:t>
      </w:r>
      <w:proofErr w:type="spellStart"/>
      <w:r w:rsidRPr="007A23B7">
        <w:rPr>
          <w:rFonts w:cs="Times New Roman"/>
          <w:sz w:val="20"/>
          <w:szCs w:val="20"/>
        </w:rPr>
        <w:t>honour</w:t>
      </w:r>
      <w:proofErr w:type="spellEnd"/>
      <w:r w:rsidRPr="007A23B7">
        <w:rPr>
          <w:rFonts w:cs="Times New Roman"/>
          <w:sz w:val="20"/>
          <w:szCs w:val="20"/>
        </w:rPr>
        <w:t xml:space="preserve"> by his friend David Cameron. Photograph: Adrian Dennis/AFP/Getty Images </w:t>
      </w:r>
    </w:p>
    <w:p w:rsidR="007A23B7" w:rsidRPr="007A23B7" w:rsidRDefault="007A23B7" w:rsidP="007A23B7">
      <w:pPr>
        <w:rPr>
          <w:rFonts w:cs="Times New Roman"/>
          <w:sz w:val="20"/>
          <w:szCs w:val="20"/>
        </w:rPr>
      </w:pPr>
    </w:p>
    <w:p w:rsidR="007A23B7" w:rsidRDefault="007A23B7" w:rsidP="007A23B7">
      <w:pPr>
        <w:ind w:firstLine="720"/>
        <w:rPr>
          <w:rFonts w:cs="Times New Roman"/>
          <w:sz w:val="20"/>
          <w:szCs w:val="20"/>
        </w:rPr>
      </w:pPr>
      <w:r w:rsidRPr="007A23B7">
        <w:rPr>
          <w:rFonts w:cs="Times New Roman"/>
          <w:sz w:val="20"/>
          <w:szCs w:val="20"/>
        </w:rPr>
        <w:t xml:space="preserve">George Osborne. As Cameron’s friend and sidekick – both in government and in </w:t>
      </w:r>
      <w:proofErr w:type="gramStart"/>
      <w:r w:rsidRPr="007A23B7">
        <w:rPr>
          <w:rFonts w:cs="Times New Roman"/>
          <w:sz w:val="20"/>
          <w:szCs w:val="20"/>
        </w:rPr>
        <w:t>the remain</w:t>
      </w:r>
      <w:proofErr w:type="gramEnd"/>
      <w:r w:rsidRPr="007A23B7">
        <w:rPr>
          <w:rFonts w:cs="Times New Roman"/>
          <w:sz w:val="20"/>
          <w:szCs w:val="20"/>
        </w:rPr>
        <w:t xml:space="preserve"> campaign – he was responsible for the infamous threatened “punishment budget” that enraged Tory </w:t>
      </w:r>
      <w:proofErr w:type="spellStart"/>
      <w:r w:rsidRPr="007A23B7">
        <w:rPr>
          <w:rFonts w:cs="Times New Roman"/>
          <w:sz w:val="20"/>
          <w:szCs w:val="20"/>
        </w:rPr>
        <w:t>Brexiteers</w:t>
      </w:r>
      <w:proofErr w:type="spellEnd"/>
      <w:r w:rsidRPr="007A23B7">
        <w:rPr>
          <w:rFonts w:cs="Times New Roman"/>
          <w:sz w:val="20"/>
          <w:szCs w:val="20"/>
        </w:rPr>
        <w:t xml:space="preserve">. Proposed award: </w:t>
      </w:r>
      <w:r w:rsidRPr="007A23B7">
        <w:rPr>
          <w:rFonts w:cs="Times New Roman"/>
          <w:sz w:val="20"/>
          <w:szCs w:val="20"/>
        </w:rPr>
        <w:lastRenderedPageBreak/>
        <w:t xml:space="preserve">companion of </w:t>
      </w:r>
      <w:proofErr w:type="spellStart"/>
      <w:r w:rsidRPr="007A23B7">
        <w:rPr>
          <w:rFonts w:cs="Times New Roman"/>
          <w:sz w:val="20"/>
          <w:szCs w:val="20"/>
        </w:rPr>
        <w:t>honour</w:t>
      </w:r>
      <w:proofErr w:type="spellEnd"/>
      <w:r w:rsidRPr="007A23B7">
        <w:rPr>
          <w:rFonts w:cs="Times New Roman"/>
          <w:sz w:val="20"/>
          <w:szCs w:val="20"/>
        </w:rPr>
        <w:t xml:space="preserve"> (an order founded by George V in 1917 to </w:t>
      </w:r>
      <w:proofErr w:type="spellStart"/>
      <w:r w:rsidRPr="007A23B7">
        <w:rPr>
          <w:rFonts w:cs="Times New Roman"/>
          <w:sz w:val="20"/>
          <w:szCs w:val="20"/>
        </w:rPr>
        <w:t>recognise</w:t>
      </w:r>
      <w:proofErr w:type="spellEnd"/>
      <w:r w:rsidRPr="007A23B7">
        <w:rPr>
          <w:rFonts w:cs="Times New Roman"/>
          <w:sz w:val="20"/>
          <w:szCs w:val="20"/>
        </w:rPr>
        <w:t xml:space="preserve"> services of national importance, made up of the sovereign plus no more than 65 members).</w:t>
      </w:r>
    </w:p>
    <w:p w:rsidR="007A23B7" w:rsidRPr="007A23B7" w:rsidRDefault="007A23B7" w:rsidP="007A23B7">
      <w:pPr>
        <w:ind w:firstLine="720"/>
        <w:rPr>
          <w:rFonts w:cs="Times New Roman"/>
          <w:sz w:val="20"/>
          <w:szCs w:val="20"/>
        </w:rPr>
      </w:pPr>
      <w:r w:rsidRPr="007A23B7">
        <w:rPr>
          <w:rFonts w:cs="Times New Roman"/>
          <w:sz w:val="20"/>
          <w:szCs w:val="20"/>
        </w:rPr>
        <w:t xml:space="preserve"> </w:t>
      </w:r>
    </w:p>
    <w:p w:rsidR="007A23B7" w:rsidRPr="007A23B7" w:rsidRDefault="007A23B7" w:rsidP="007A23B7">
      <w:pPr>
        <w:ind w:firstLine="720"/>
        <w:rPr>
          <w:rFonts w:cs="Times New Roman"/>
          <w:sz w:val="20"/>
          <w:szCs w:val="20"/>
        </w:rPr>
      </w:pPr>
      <w:r>
        <w:rPr>
          <w:rFonts w:cs="Times New Roman"/>
          <w:sz w:val="20"/>
          <w:szCs w:val="20"/>
        </w:rPr>
        <w:t>Ga</w:t>
      </w:r>
      <w:r w:rsidRPr="007A23B7">
        <w:rPr>
          <w:rFonts w:cs="Times New Roman"/>
          <w:sz w:val="20"/>
          <w:szCs w:val="20"/>
        </w:rPr>
        <w:t>vin Williamson was Cameron’s parliamentary private secretary. Proposed award: CBE.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John Hayes was most recently security minister under Cameron and is now a transport minister in Theresa May’s government. He was pro-Brexit.</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Will Straw, son of former foreign secretary Jack Straw, was director of the Britain Stronger in Europe campaign. Proposed award: CBE.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Daniel </w:t>
      </w:r>
      <w:proofErr w:type="spellStart"/>
      <w:r w:rsidRPr="007A23B7">
        <w:rPr>
          <w:rFonts w:cs="Times New Roman"/>
          <w:sz w:val="20"/>
          <w:szCs w:val="20"/>
        </w:rPr>
        <w:t>Korski</w:t>
      </w:r>
      <w:proofErr w:type="spellEnd"/>
      <w:r w:rsidRPr="007A23B7">
        <w:rPr>
          <w:rFonts w:cs="Times New Roman"/>
          <w:sz w:val="20"/>
          <w:szCs w:val="20"/>
        </w:rPr>
        <w:t>. As deputy director of the Downing Street policy unit, he was latterly concerned with how to win the EU referendum. He complained about John Longworth, director general of the British Chambers of Commerce, for speaking out about Brexit and Longworth was suspended hours later. Proposed award: CBE.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Nick Herbert, a Eurosceptic and former policing minister, headed a pro-EU campaign group called Conservatives for Reform in Europe. Proposed award: CBE.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Charlotte </w:t>
      </w:r>
      <w:proofErr w:type="spellStart"/>
      <w:r w:rsidRPr="007A23B7">
        <w:rPr>
          <w:rFonts w:cs="Times New Roman"/>
          <w:sz w:val="20"/>
          <w:szCs w:val="20"/>
        </w:rPr>
        <w:t>Todman</w:t>
      </w:r>
      <w:proofErr w:type="spellEnd"/>
      <w:r w:rsidRPr="007A23B7">
        <w:rPr>
          <w:rFonts w:cs="Times New Roman"/>
          <w:sz w:val="20"/>
          <w:szCs w:val="20"/>
        </w:rPr>
        <w:t xml:space="preserve"> resigned as a Downing Street civil servant to head </w:t>
      </w:r>
      <w:proofErr w:type="gramStart"/>
      <w:r w:rsidRPr="007A23B7">
        <w:rPr>
          <w:rFonts w:cs="Times New Roman"/>
          <w:sz w:val="20"/>
          <w:szCs w:val="20"/>
        </w:rPr>
        <w:t>the remain</w:t>
      </w:r>
      <w:proofErr w:type="gramEnd"/>
      <w:r w:rsidRPr="007A23B7">
        <w:rPr>
          <w:rFonts w:cs="Times New Roman"/>
          <w:sz w:val="20"/>
          <w:szCs w:val="20"/>
        </w:rPr>
        <w:t xml:space="preserve"> campaign’s events team, according to the Sunday Times. Proposed award: OBE.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Arabella Warburton was John Major’s personal assistant in Downing Street and remained as an aide after he left office. She was made an MBE in Major’s 1997 </w:t>
      </w:r>
      <w:proofErr w:type="spellStart"/>
      <w:r w:rsidRPr="007A23B7">
        <w:rPr>
          <w:rFonts w:cs="Times New Roman"/>
          <w:sz w:val="20"/>
          <w:szCs w:val="20"/>
        </w:rPr>
        <w:t>honours</w:t>
      </w:r>
      <w:proofErr w:type="spellEnd"/>
      <w:r w:rsidRPr="007A23B7">
        <w:rPr>
          <w:rFonts w:cs="Times New Roman"/>
          <w:sz w:val="20"/>
          <w:szCs w:val="20"/>
        </w:rPr>
        <w:t xml:space="preserve"> list. Major was vocal in his criticism of the arguments for Brexit during the EU referendum campaign. Proposed award: dame.</w:t>
      </w:r>
    </w:p>
    <w:p w:rsidR="007A23B7" w:rsidRDefault="007A23B7" w:rsidP="007A23B7">
      <w:pPr>
        <w:rPr>
          <w:rFonts w:cs="Times New Roman"/>
          <w:sz w:val="20"/>
          <w:szCs w:val="20"/>
        </w:rPr>
      </w:pPr>
    </w:p>
    <w:p w:rsidR="007A23B7" w:rsidRDefault="007A23B7" w:rsidP="007A23B7">
      <w:pPr>
        <w:ind w:firstLine="720"/>
        <w:rPr>
          <w:rFonts w:cs="Times New Roman"/>
          <w:sz w:val="20"/>
          <w:szCs w:val="20"/>
        </w:rPr>
      </w:pPr>
      <w:r w:rsidRPr="007A23B7">
        <w:rPr>
          <w:rFonts w:cs="Times New Roman"/>
          <w:sz w:val="20"/>
          <w:szCs w:val="20"/>
        </w:rPr>
        <w:t>Caroline Spelman, former environment secretary, argued that voting to remain would help protect the environment and countryside. Proposed award: dame.</w:t>
      </w:r>
    </w:p>
    <w:p w:rsidR="007A23B7" w:rsidRPr="007A23B7" w:rsidRDefault="007A23B7" w:rsidP="007A23B7">
      <w:pPr>
        <w:ind w:firstLine="720"/>
        <w:rPr>
          <w:rFonts w:cs="Times New Roman"/>
          <w:sz w:val="20"/>
          <w:szCs w:val="20"/>
        </w:rPr>
      </w:pPr>
      <w:r w:rsidRPr="007A23B7">
        <w:rPr>
          <w:rFonts w:cs="Times New Roman"/>
          <w:sz w:val="20"/>
          <w:szCs w:val="20"/>
        </w:rPr>
        <w:t xml:space="preserve"> </w:t>
      </w:r>
    </w:p>
    <w:p w:rsidR="007A23B7" w:rsidRPr="007A23B7" w:rsidRDefault="007A23B7" w:rsidP="007A23B7">
      <w:pPr>
        <w:ind w:firstLine="720"/>
        <w:rPr>
          <w:rFonts w:cs="Times New Roman"/>
          <w:sz w:val="20"/>
          <w:szCs w:val="20"/>
        </w:rPr>
      </w:pPr>
      <w:r w:rsidRPr="007A23B7">
        <w:rPr>
          <w:rFonts w:cs="Times New Roman"/>
          <w:sz w:val="20"/>
          <w:szCs w:val="20"/>
        </w:rPr>
        <w:t xml:space="preserve">Helen </w:t>
      </w:r>
      <w:proofErr w:type="gramStart"/>
      <w:r w:rsidRPr="007A23B7">
        <w:rPr>
          <w:rFonts w:cs="Times New Roman"/>
          <w:sz w:val="20"/>
          <w:szCs w:val="20"/>
        </w:rPr>
        <w:t>Bower,</w:t>
      </w:r>
      <w:proofErr w:type="gramEnd"/>
      <w:r w:rsidRPr="007A23B7">
        <w:rPr>
          <w:rFonts w:cs="Times New Roman"/>
          <w:sz w:val="20"/>
          <w:szCs w:val="20"/>
        </w:rPr>
        <w:t xml:space="preserve"> was Cameron’s official spokeswoman. Proposed award: CBE.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Simon Case was appointed as Cameron’s principal private secretary in January but had been in the civil service since 2006, and also worked at Number 10 between 2012 and </w:t>
      </w:r>
      <w:proofErr w:type="gramStart"/>
      <w:r w:rsidRPr="007A23B7">
        <w:rPr>
          <w:rFonts w:cs="Times New Roman"/>
          <w:sz w:val="20"/>
          <w:szCs w:val="20"/>
        </w:rPr>
        <w:t>2014 ,</w:t>
      </w:r>
      <w:proofErr w:type="gramEnd"/>
      <w:r w:rsidRPr="007A23B7">
        <w:rPr>
          <w:rFonts w:cs="Times New Roman"/>
          <w:sz w:val="20"/>
          <w:szCs w:val="20"/>
        </w:rPr>
        <w:t xml:space="preserve"> where he served as private secretary and later as deputy principal private secretary to the prime minister. Proposed award: knighthood.</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Tim </w:t>
      </w:r>
      <w:proofErr w:type="spellStart"/>
      <w:proofErr w:type="gramStart"/>
      <w:r w:rsidRPr="007A23B7">
        <w:rPr>
          <w:rFonts w:cs="Times New Roman"/>
          <w:sz w:val="20"/>
          <w:szCs w:val="20"/>
        </w:rPr>
        <w:t>Kiddell</w:t>
      </w:r>
      <w:proofErr w:type="spellEnd"/>
      <w:r w:rsidRPr="007A23B7">
        <w:rPr>
          <w:rFonts w:cs="Times New Roman"/>
          <w:sz w:val="20"/>
          <w:szCs w:val="20"/>
        </w:rPr>
        <w:t>,</w:t>
      </w:r>
      <w:proofErr w:type="gramEnd"/>
      <w:r w:rsidRPr="007A23B7">
        <w:rPr>
          <w:rFonts w:cs="Times New Roman"/>
          <w:sz w:val="20"/>
          <w:szCs w:val="20"/>
        </w:rPr>
        <w:t xml:space="preserve"> was private secretary and speechwriter for Cameron. He was responsible for a joke about the prospects of a second referendum, seemingly aimed at Boris Johnson – who has experienced marital problems – after he joined the Brexit campaign. “I have known a number of couples who have begun divorce proceedings,” Cameron said. “But I do not know any who have begun divorce proceedings in order to renew their marriage vows.” Proposed award: OBE.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Nicholas Howard was Cameron’s assistant private secretary. Proposed award: Companion of the order of the Bath.</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Martha Gutierrez </w:t>
      </w:r>
      <w:proofErr w:type="spellStart"/>
      <w:r w:rsidRPr="007A23B7">
        <w:rPr>
          <w:rFonts w:cs="Times New Roman"/>
          <w:sz w:val="20"/>
          <w:szCs w:val="20"/>
        </w:rPr>
        <w:t>Verez</w:t>
      </w:r>
      <w:proofErr w:type="spellEnd"/>
      <w:r w:rsidRPr="007A23B7">
        <w:rPr>
          <w:rFonts w:cs="Times New Roman"/>
          <w:sz w:val="20"/>
          <w:szCs w:val="20"/>
        </w:rPr>
        <w:t xml:space="preserve"> and Sean </w:t>
      </w:r>
      <w:proofErr w:type="spellStart"/>
      <w:r w:rsidRPr="007A23B7">
        <w:rPr>
          <w:rFonts w:cs="Times New Roman"/>
          <w:sz w:val="20"/>
          <w:szCs w:val="20"/>
        </w:rPr>
        <w:t>Storey</w:t>
      </w:r>
      <w:proofErr w:type="spellEnd"/>
      <w:r w:rsidRPr="007A23B7">
        <w:rPr>
          <w:rFonts w:cs="Times New Roman"/>
          <w:sz w:val="20"/>
          <w:szCs w:val="20"/>
        </w:rPr>
        <w:t xml:space="preserve"> are drivers from the government’s car service, according to the Sunday Times. Proposed award: MBE.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Isabel Spearman, a former PR for handbag designer Anya </w:t>
      </w:r>
      <w:proofErr w:type="spellStart"/>
      <w:r w:rsidRPr="007A23B7">
        <w:rPr>
          <w:rFonts w:cs="Times New Roman"/>
          <w:sz w:val="20"/>
          <w:szCs w:val="20"/>
        </w:rPr>
        <w:t>Hindmarch</w:t>
      </w:r>
      <w:proofErr w:type="spellEnd"/>
      <w:r w:rsidRPr="007A23B7">
        <w:rPr>
          <w:rFonts w:cs="Times New Roman"/>
          <w:sz w:val="20"/>
          <w:szCs w:val="20"/>
        </w:rPr>
        <w:t xml:space="preserve"> worked as a special adviser in Downing Street, helping Samantha Cameron run her life, throw official parties and choose outfits for engagements at home and abroad. Proposed award: OBE.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Thea Rogers, a close aide of Osborne’s, hit the headlines last year when the chancellor gave her a 42% pay rise while asking public-sector workers to accept a pay freeze. The increase came as he appointed his special adviser, formerly a BBC producer, to be his chief of staff. Rogers is said to have been responsible for Osborne’s Caesar-style haircut and for placing him on the 5:2 diet. Proposed award: OBE.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lastRenderedPageBreak/>
        <w:t xml:space="preserve">Neil </w:t>
      </w:r>
      <w:proofErr w:type="gramStart"/>
      <w:r w:rsidRPr="007A23B7">
        <w:rPr>
          <w:rFonts w:cs="Times New Roman"/>
          <w:sz w:val="20"/>
          <w:szCs w:val="20"/>
        </w:rPr>
        <w:t>O’Brien,</w:t>
      </w:r>
      <w:proofErr w:type="gramEnd"/>
      <w:r w:rsidRPr="007A23B7">
        <w:rPr>
          <w:rFonts w:cs="Times New Roman"/>
          <w:sz w:val="20"/>
          <w:szCs w:val="20"/>
        </w:rPr>
        <w:t xml:space="preserve"> was appointed as a special adviser to Osborne, joining from the </w:t>
      </w:r>
      <w:proofErr w:type="spellStart"/>
      <w:r w:rsidRPr="007A23B7">
        <w:rPr>
          <w:rFonts w:cs="Times New Roman"/>
          <w:sz w:val="20"/>
          <w:szCs w:val="20"/>
        </w:rPr>
        <w:t>centre</w:t>
      </w:r>
      <w:proofErr w:type="spellEnd"/>
      <w:r w:rsidRPr="007A23B7">
        <w:rPr>
          <w:rFonts w:cs="Times New Roman"/>
          <w:sz w:val="20"/>
          <w:szCs w:val="20"/>
        </w:rPr>
        <w:t>-right think tank Policy Exchange, where he was director. Proposed award: OBE.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Beverly Jane Robertson is the long-standing secretary of </w:t>
      </w:r>
      <w:proofErr w:type="spellStart"/>
      <w:r w:rsidRPr="007A23B7">
        <w:rPr>
          <w:rFonts w:cs="Times New Roman"/>
          <w:sz w:val="20"/>
          <w:szCs w:val="20"/>
        </w:rPr>
        <w:t>Tatton</w:t>
      </w:r>
      <w:proofErr w:type="spellEnd"/>
      <w:r w:rsidRPr="007A23B7">
        <w:rPr>
          <w:rFonts w:cs="Times New Roman"/>
          <w:sz w:val="20"/>
          <w:szCs w:val="20"/>
        </w:rPr>
        <w:t xml:space="preserve"> constituency association, according to the Sunday Times, whose MP is Osborne. Proposed award: MBE.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Lena </w:t>
      </w:r>
      <w:proofErr w:type="spellStart"/>
      <w:r w:rsidRPr="007A23B7">
        <w:rPr>
          <w:rFonts w:cs="Times New Roman"/>
          <w:sz w:val="20"/>
          <w:szCs w:val="20"/>
        </w:rPr>
        <w:t>Pietsch</w:t>
      </w:r>
      <w:proofErr w:type="spellEnd"/>
      <w:r w:rsidRPr="007A23B7">
        <w:rPr>
          <w:rFonts w:cs="Times New Roman"/>
          <w:sz w:val="20"/>
          <w:szCs w:val="20"/>
        </w:rPr>
        <w:t xml:space="preserve"> is Nick Clegg’s long-term press chief. She was credited by Clegg with managing relations with the Tories in the coalition government in a calm way. Proposed award: OBE.</w:t>
      </w:r>
    </w:p>
    <w:p w:rsidR="007A23B7" w:rsidRPr="007A23B7" w:rsidRDefault="007A23B7" w:rsidP="007A23B7">
      <w:pPr>
        <w:rPr>
          <w:rFonts w:cs="Times New Roman"/>
          <w:sz w:val="20"/>
          <w:szCs w:val="20"/>
        </w:rPr>
      </w:pPr>
    </w:p>
    <w:p w:rsidR="007A23B7" w:rsidRDefault="007A23B7" w:rsidP="007A23B7">
      <w:pPr>
        <w:ind w:firstLine="720"/>
        <w:rPr>
          <w:rFonts w:cs="Times New Roman"/>
          <w:sz w:val="20"/>
          <w:szCs w:val="20"/>
        </w:rPr>
      </w:pPr>
      <w:r w:rsidRPr="007A23B7">
        <w:rPr>
          <w:rFonts w:cs="Times New Roman"/>
          <w:sz w:val="20"/>
          <w:szCs w:val="20"/>
        </w:rPr>
        <w:t>Craig Oliver, a former BBC executive, was Cameron’s chief spin doctor. He is writing a book promising to reveal what went on inside No 10 Downing Street during the EU referendum campaign. Proposed award: knighthood.</w:t>
      </w:r>
    </w:p>
    <w:p w:rsidR="007A23B7" w:rsidRPr="007A23B7" w:rsidRDefault="007A23B7" w:rsidP="007A23B7">
      <w:pPr>
        <w:ind w:firstLine="720"/>
        <w:rPr>
          <w:rFonts w:cs="Times New Roman"/>
          <w:sz w:val="20"/>
          <w:szCs w:val="20"/>
        </w:rPr>
      </w:pPr>
      <w:r w:rsidRPr="007A23B7">
        <w:rPr>
          <w:rFonts w:cs="Times New Roman"/>
          <w:sz w:val="20"/>
          <w:szCs w:val="20"/>
        </w:rPr>
        <w:t xml:space="preserve"> </w:t>
      </w:r>
    </w:p>
    <w:p w:rsidR="007A23B7" w:rsidRPr="007A23B7" w:rsidRDefault="007A23B7" w:rsidP="007A23B7">
      <w:pPr>
        <w:ind w:firstLine="720"/>
        <w:rPr>
          <w:rFonts w:cs="Times New Roman"/>
          <w:sz w:val="20"/>
          <w:szCs w:val="20"/>
        </w:rPr>
      </w:pPr>
      <w:r w:rsidRPr="007A23B7">
        <w:rPr>
          <w:rFonts w:cs="Times New Roman"/>
          <w:sz w:val="20"/>
          <w:szCs w:val="20"/>
        </w:rPr>
        <w:t>Graeme Wilson was the prime minister’s press secretary, serving from 2013, when he left his position as the Sun’s deputy political editor, to when Cameron left office. Proposed award: CBE.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Ramsay </w:t>
      </w:r>
      <w:proofErr w:type="gramStart"/>
      <w:r w:rsidRPr="007A23B7">
        <w:rPr>
          <w:rFonts w:cs="Times New Roman"/>
          <w:sz w:val="20"/>
          <w:szCs w:val="20"/>
        </w:rPr>
        <w:t>Jones,</w:t>
      </w:r>
      <w:proofErr w:type="gramEnd"/>
      <w:r w:rsidRPr="007A23B7">
        <w:rPr>
          <w:rFonts w:cs="Times New Roman"/>
          <w:sz w:val="20"/>
          <w:szCs w:val="20"/>
        </w:rPr>
        <w:t xml:space="preserve"> was another former special adviser to Cameron. Proposed award: CBE.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Kathryn Jenkins is director of an events company responsible for numerous Tory party conferences and policy launches, according to the Sunday Times. Proposed award: OBE.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Sheridan Westlake is another who worked as an adviser to Cameron, joining the Number 10 team last year. He previously worked in the Department for Communities and Local Government. In 2010 he was named as one of the Telegraph’s 100 most influential </w:t>
      </w:r>
      <w:proofErr w:type="spellStart"/>
      <w:r w:rsidRPr="007A23B7">
        <w:rPr>
          <w:rFonts w:cs="Times New Roman"/>
          <w:sz w:val="20"/>
          <w:szCs w:val="20"/>
        </w:rPr>
        <w:t>rightwingers</w:t>
      </w:r>
      <w:proofErr w:type="spellEnd"/>
      <w:r w:rsidRPr="007A23B7">
        <w:rPr>
          <w:rFonts w:cs="Times New Roman"/>
          <w:sz w:val="20"/>
          <w:szCs w:val="20"/>
        </w:rPr>
        <w:t>. Proposed award: OBE.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Alan </w:t>
      </w:r>
      <w:proofErr w:type="spellStart"/>
      <w:r w:rsidRPr="007A23B7">
        <w:rPr>
          <w:rFonts w:cs="Times New Roman"/>
          <w:sz w:val="20"/>
          <w:szCs w:val="20"/>
        </w:rPr>
        <w:t>Sendorek</w:t>
      </w:r>
      <w:proofErr w:type="spellEnd"/>
      <w:r w:rsidRPr="007A23B7">
        <w:rPr>
          <w:rFonts w:cs="Times New Roman"/>
          <w:sz w:val="20"/>
          <w:szCs w:val="20"/>
        </w:rPr>
        <w:t xml:space="preserve"> was Cameron’s head of political press before leaving to work for QPR football club last year. Proposed award: OBE.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Julian Glover worked as a speechwriter for Cameron. He was previously a Guardian leader writer and columnist. Proposed award: OBE.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Caroline Preston is the Conservatives’ head of broadcasting. Proposed award: MBE.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Laura </w:t>
      </w:r>
      <w:proofErr w:type="spellStart"/>
      <w:r w:rsidRPr="007A23B7">
        <w:rPr>
          <w:rFonts w:cs="Times New Roman"/>
          <w:sz w:val="20"/>
          <w:szCs w:val="20"/>
        </w:rPr>
        <w:t>Trott</w:t>
      </w:r>
      <w:proofErr w:type="spellEnd"/>
      <w:r w:rsidRPr="007A23B7">
        <w:rPr>
          <w:rFonts w:cs="Times New Roman"/>
          <w:sz w:val="20"/>
          <w:szCs w:val="20"/>
        </w:rPr>
        <w:t xml:space="preserve"> was a political adviser to David Cameron on women, education and childcare and architect of the Tories’ tax-free childcare policy. Proposed award: MBE.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Giles </w:t>
      </w:r>
      <w:proofErr w:type="spellStart"/>
      <w:proofErr w:type="gramStart"/>
      <w:r w:rsidRPr="007A23B7">
        <w:rPr>
          <w:rFonts w:cs="Times New Roman"/>
          <w:sz w:val="20"/>
          <w:szCs w:val="20"/>
        </w:rPr>
        <w:t>Kenningham</w:t>
      </w:r>
      <w:proofErr w:type="spellEnd"/>
      <w:r w:rsidRPr="007A23B7">
        <w:rPr>
          <w:rFonts w:cs="Times New Roman"/>
          <w:sz w:val="20"/>
          <w:szCs w:val="20"/>
        </w:rPr>
        <w:t>,</w:t>
      </w:r>
      <w:proofErr w:type="gramEnd"/>
      <w:r w:rsidRPr="007A23B7">
        <w:rPr>
          <w:rFonts w:cs="Times New Roman"/>
          <w:sz w:val="20"/>
          <w:szCs w:val="20"/>
        </w:rPr>
        <w:t xml:space="preserve"> was the Tories’ director of communications before replacing </w:t>
      </w:r>
      <w:proofErr w:type="spellStart"/>
      <w:r w:rsidRPr="007A23B7">
        <w:rPr>
          <w:rFonts w:cs="Times New Roman"/>
          <w:sz w:val="20"/>
          <w:szCs w:val="20"/>
        </w:rPr>
        <w:t>Sendorek</w:t>
      </w:r>
      <w:proofErr w:type="spellEnd"/>
      <w:r w:rsidRPr="007A23B7">
        <w:rPr>
          <w:rFonts w:cs="Times New Roman"/>
          <w:sz w:val="20"/>
          <w:szCs w:val="20"/>
        </w:rPr>
        <w:t xml:space="preserve"> as head of political press at Number 10. Proposed award: MBE.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Martha Varney also worked at Number 10, according to the Sunday Times, having previously been a special adviser to Oliver </w:t>
      </w:r>
      <w:proofErr w:type="spellStart"/>
      <w:r w:rsidRPr="007A23B7">
        <w:rPr>
          <w:rFonts w:cs="Times New Roman"/>
          <w:sz w:val="20"/>
          <w:szCs w:val="20"/>
        </w:rPr>
        <w:t>Letwin</w:t>
      </w:r>
      <w:proofErr w:type="spellEnd"/>
      <w:r w:rsidRPr="007A23B7">
        <w:rPr>
          <w:rFonts w:cs="Times New Roman"/>
          <w:sz w:val="20"/>
          <w:szCs w:val="20"/>
        </w:rPr>
        <w:t>. Proposed award: MBE.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Adam </w:t>
      </w:r>
      <w:proofErr w:type="spellStart"/>
      <w:r w:rsidRPr="007A23B7">
        <w:rPr>
          <w:rFonts w:cs="Times New Roman"/>
          <w:sz w:val="20"/>
          <w:szCs w:val="20"/>
        </w:rPr>
        <w:t>Atashzai</w:t>
      </w:r>
      <w:proofErr w:type="spellEnd"/>
      <w:r w:rsidRPr="007A23B7">
        <w:rPr>
          <w:rFonts w:cs="Times New Roman"/>
          <w:sz w:val="20"/>
          <w:szCs w:val="20"/>
        </w:rPr>
        <w:t xml:space="preserve"> joined the Number 10 team last year as Craig Oliver’s deputy political secretary. He was said to be responsible for making sure everyone in government was sending a consistent message. Proposed award: MBE.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Kate </w:t>
      </w:r>
      <w:proofErr w:type="spellStart"/>
      <w:r w:rsidRPr="007A23B7">
        <w:rPr>
          <w:rFonts w:cs="Times New Roman"/>
          <w:sz w:val="20"/>
          <w:szCs w:val="20"/>
        </w:rPr>
        <w:t>Shouesmith</w:t>
      </w:r>
      <w:proofErr w:type="spellEnd"/>
      <w:r w:rsidRPr="007A23B7">
        <w:rPr>
          <w:rFonts w:cs="Times New Roman"/>
          <w:sz w:val="20"/>
          <w:szCs w:val="20"/>
        </w:rPr>
        <w:t xml:space="preserve"> was an adviser to Cameron’s wife, Samantha, in 2014, and became an aide to Cameron in January last year. She also worked for </w:t>
      </w:r>
      <w:proofErr w:type="gramStart"/>
      <w:r w:rsidRPr="007A23B7">
        <w:rPr>
          <w:rFonts w:cs="Times New Roman"/>
          <w:sz w:val="20"/>
          <w:szCs w:val="20"/>
        </w:rPr>
        <w:t>the remain</w:t>
      </w:r>
      <w:proofErr w:type="gramEnd"/>
      <w:r w:rsidRPr="007A23B7">
        <w:rPr>
          <w:rFonts w:cs="Times New Roman"/>
          <w:sz w:val="20"/>
          <w:szCs w:val="20"/>
        </w:rPr>
        <w:t xml:space="preserve"> campaign. Proposed award: MBE.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Nick Seddon was the prime minister’s special adviser for health, care and life sciences. He previously worked for right-of-</w:t>
      </w:r>
      <w:proofErr w:type="spellStart"/>
      <w:r w:rsidRPr="007A23B7">
        <w:rPr>
          <w:rFonts w:cs="Times New Roman"/>
          <w:sz w:val="20"/>
          <w:szCs w:val="20"/>
        </w:rPr>
        <w:t>centre</w:t>
      </w:r>
      <w:proofErr w:type="spellEnd"/>
      <w:r w:rsidRPr="007A23B7">
        <w:rPr>
          <w:rFonts w:cs="Times New Roman"/>
          <w:sz w:val="20"/>
          <w:szCs w:val="20"/>
        </w:rPr>
        <w:t xml:space="preserve"> </w:t>
      </w:r>
      <w:proofErr w:type="spellStart"/>
      <w:r w:rsidRPr="007A23B7">
        <w:rPr>
          <w:rFonts w:cs="Times New Roman"/>
          <w:sz w:val="20"/>
          <w:szCs w:val="20"/>
        </w:rPr>
        <w:t>thinktank</w:t>
      </w:r>
      <w:proofErr w:type="spellEnd"/>
      <w:r w:rsidRPr="007A23B7">
        <w:rPr>
          <w:rFonts w:cs="Times New Roman"/>
          <w:sz w:val="20"/>
          <w:szCs w:val="20"/>
        </w:rPr>
        <w:t xml:space="preserve"> Reform and during his time there advocated deep NHS cuts and charges to see a family doctor. Proposed award: MBE. </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Jessica </w:t>
      </w:r>
      <w:proofErr w:type="spellStart"/>
      <w:r w:rsidRPr="007A23B7">
        <w:rPr>
          <w:rFonts w:cs="Times New Roman"/>
          <w:sz w:val="20"/>
          <w:szCs w:val="20"/>
        </w:rPr>
        <w:t>Cunniffe</w:t>
      </w:r>
      <w:proofErr w:type="spellEnd"/>
      <w:r w:rsidRPr="007A23B7">
        <w:rPr>
          <w:rFonts w:cs="Times New Roman"/>
          <w:sz w:val="20"/>
          <w:szCs w:val="20"/>
        </w:rPr>
        <w:t xml:space="preserve"> was brought in to No 10 as the prime minister’s political speech writer in 2014, having previously worked for Baroness Warsi, when she was minister for faith and communities, for three years. Proposed award: MBE.</w:t>
      </w:r>
    </w:p>
    <w:p w:rsidR="007A23B7" w:rsidRPr="007A23B7" w:rsidRDefault="007A23B7" w:rsidP="007A23B7">
      <w:pPr>
        <w:rPr>
          <w:rFonts w:cs="Times New Roman"/>
          <w:sz w:val="20"/>
          <w:szCs w:val="20"/>
        </w:rPr>
      </w:pP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Richard Parr was a special adviser to Andrew Mitchell in the Department for International Development. Proposed award: MBE.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Richard Jackson was head of operations for the Conservative party. Proposed award: MBE.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Nicola “Nikki” </w:t>
      </w:r>
      <w:proofErr w:type="gramStart"/>
      <w:r w:rsidRPr="007A23B7">
        <w:rPr>
          <w:rFonts w:cs="Times New Roman"/>
          <w:sz w:val="20"/>
          <w:szCs w:val="20"/>
        </w:rPr>
        <w:t>Shale,</w:t>
      </w:r>
      <w:proofErr w:type="gramEnd"/>
      <w:r w:rsidRPr="007A23B7">
        <w:rPr>
          <w:rFonts w:cs="Times New Roman"/>
          <w:sz w:val="20"/>
          <w:szCs w:val="20"/>
        </w:rPr>
        <w:t xml:space="preserve"> used to run a property company and is involved with a number of charities. She was married to Christopher Shale, the chair of West </w:t>
      </w:r>
      <w:proofErr w:type="spellStart"/>
      <w:r w:rsidRPr="007A23B7">
        <w:rPr>
          <w:rFonts w:cs="Times New Roman"/>
          <w:sz w:val="20"/>
          <w:szCs w:val="20"/>
        </w:rPr>
        <w:t>Oxfordshire</w:t>
      </w:r>
      <w:proofErr w:type="spellEnd"/>
      <w:r w:rsidRPr="007A23B7">
        <w:rPr>
          <w:rFonts w:cs="Times New Roman"/>
          <w:sz w:val="20"/>
          <w:szCs w:val="20"/>
        </w:rPr>
        <w:t xml:space="preserve"> Conservative association (Cameron’s constituency association), who was described by the then prime minister as “a big rock in my life” after he died </w:t>
      </w:r>
      <w:proofErr w:type="spellStart"/>
      <w:r w:rsidRPr="007A23B7">
        <w:rPr>
          <w:rFonts w:cs="Times New Roman"/>
          <w:sz w:val="20"/>
          <w:szCs w:val="20"/>
        </w:rPr>
        <w:t>died</w:t>
      </w:r>
      <w:proofErr w:type="spellEnd"/>
      <w:r w:rsidRPr="007A23B7">
        <w:rPr>
          <w:rFonts w:cs="Times New Roman"/>
          <w:sz w:val="20"/>
          <w:szCs w:val="20"/>
        </w:rPr>
        <w:t xml:space="preserve"> from a heart attack at Glastonbury in 2011. Proposed award: MBE.</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David </w:t>
      </w:r>
      <w:proofErr w:type="gramStart"/>
      <w:r w:rsidRPr="007A23B7">
        <w:rPr>
          <w:rFonts w:cs="Times New Roman"/>
          <w:sz w:val="20"/>
          <w:szCs w:val="20"/>
        </w:rPr>
        <w:t>McFarlane,</w:t>
      </w:r>
      <w:proofErr w:type="gramEnd"/>
      <w:r w:rsidRPr="007A23B7">
        <w:rPr>
          <w:rFonts w:cs="Times New Roman"/>
          <w:sz w:val="20"/>
          <w:szCs w:val="20"/>
        </w:rPr>
        <w:t xml:space="preserve"> is the current chair of West </w:t>
      </w:r>
      <w:proofErr w:type="spellStart"/>
      <w:r w:rsidRPr="007A23B7">
        <w:rPr>
          <w:rFonts w:cs="Times New Roman"/>
          <w:sz w:val="20"/>
          <w:szCs w:val="20"/>
        </w:rPr>
        <w:t>Oxfordshire</w:t>
      </w:r>
      <w:proofErr w:type="spellEnd"/>
      <w:r w:rsidRPr="007A23B7">
        <w:rPr>
          <w:rFonts w:cs="Times New Roman"/>
          <w:sz w:val="20"/>
          <w:szCs w:val="20"/>
        </w:rPr>
        <w:t xml:space="preserve"> Conservative association. Proposed award: unknown</w:t>
      </w:r>
    </w:p>
    <w:p w:rsidR="007A23B7" w:rsidRPr="007A23B7" w:rsidRDefault="007A23B7" w:rsidP="007A23B7">
      <w:pPr>
        <w:rPr>
          <w:rFonts w:cs="Times New Roman"/>
          <w:sz w:val="20"/>
          <w:szCs w:val="20"/>
        </w:rPr>
      </w:pPr>
    </w:p>
    <w:p w:rsidR="007A23B7" w:rsidRPr="007A23B7" w:rsidRDefault="007A23B7" w:rsidP="007A23B7">
      <w:pPr>
        <w:ind w:firstLine="720"/>
        <w:rPr>
          <w:rFonts w:cs="Times New Roman"/>
          <w:sz w:val="20"/>
          <w:szCs w:val="20"/>
        </w:rPr>
      </w:pPr>
      <w:r w:rsidRPr="007A23B7">
        <w:rPr>
          <w:rFonts w:cs="Times New Roman"/>
          <w:sz w:val="20"/>
          <w:szCs w:val="20"/>
        </w:rPr>
        <w:t xml:space="preserve">Natasha </w:t>
      </w:r>
      <w:proofErr w:type="spellStart"/>
      <w:r w:rsidRPr="007A23B7">
        <w:rPr>
          <w:rFonts w:cs="Times New Roman"/>
          <w:sz w:val="20"/>
          <w:szCs w:val="20"/>
        </w:rPr>
        <w:t>Whitmill</w:t>
      </w:r>
      <w:proofErr w:type="spellEnd"/>
      <w:r w:rsidRPr="007A23B7">
        <w:rPr>
          <w:rFonts w:cs="Times New Roman"/>
          <w:sz w:val="20"/>
          <w:szCs w:val="20"/>
        </w:rPr>
        <w:t xml:space="preserve"> is Cameron’s election agent. She lives in Chipping Norton, </w:t>
      </w:r>
      <w:proofErr w:type="spellStart"/>
      <w:r w:rsidRPr="007A23B7">
        <w:rPr>
          <w:rFonts w:cs="Times New Roman"/>
          <w:sz w:val="20"/>
          <w:szCs w:val="20"/>
        </w:rPr>
        <w:t>Oxfordshire</w:t>
      </w:r>
      <w:proofErr w:type="spellEnd"/>
      <w:r w:rsidRPr="007A23B7">
        <w:rPr>
          <w:rFonts w:cs="Times New Roman"/>
          <w:sz w:val="20"/>
          <w:szCs w:val="20"/>
        </w:rPr>
        <w:t>. Proposed award: OBE.</w:t>
      </w:r>
    </w:p>
    <w:p w:rsidR="007A23B7" w:rsidRPr="007A23B7" w:rsidRDefault="007A23B7" w:rsidP="007A23B7">
      <w:pPr>
        <w:rPr>
          <w:rFonts w:cs="Times New Roman"/>
          <w:sz w:val="20"/>
          <w:szCs w:val="20"/>
        </w:rPr>
      </w:pPr>
    </w:p>
    <w:p w:rsidR="007A23B7" w:rsidRDefault="007A23B7" w:rsidP="007A23B7">
      <w:pPr>
        <w:ind w:firstLine="720"/>
        <w:rPr>
          <w:rFonts w:cs="Times New Roman"/>
          <w:sz w:val="20"/>
          <w:szCs w:val="20"/>
        </w:rPr>
      </w:pPr>
      <w:r w:rsidRPr="007A23B7">
        <w:rPr>
          <w:rFonts w:cs="Times New Roman"/>
          <w:sz w:val="20"/>
          <w:szCs w:val="20"/>
        </w:rPr>
        <w:t xml:space="preserve">Tony Gallagher does not have any details beside his name, the Sunday Times says. But it believes the document may refer to the property developer, who is a member of the Tory party’s Leader’s Group for major donors. Gallagher, who lives near David Cameron in Chipping Norton, has donated money to the party both personally and through his companies. In 2014, he attended a dinner hosted by David Cameron at </w:t>
      </w:r>
      <w:proofErr w:type="spellStart"/>
      <w:r w:rsidRPr="007A23B7">
        <w:rPr>
          <w:rFonts w:cs="Times New Roman"/>
          <w:sz w:val="20"/>
          <w:szCs w:val="20"/>
        </w:rPr>
        <w:t>Chequers</w:t>
      </w:r>
      <w:proofErr w:type="spellEnd"/>
      <w:r w:rsidRPr="007A23B7">
        <w:rPr>
          <w:rFonts w:cs="Times New Roman"/>
          <w:sz w:val="20"/>
          <w:szCs w:val="20"/>
        </w:rPr>
        <w:t>, the prime minister’s grace-and-</w:t>
      </w:r>
      <w:proofErr w:type="spellStart"/>
      <w:r w:rsidRPr="007A23B7">
        <w:rPr>
          <w:rFonts w:cs="Times New Roman"/>
          <w:sz w:val="20"/>
          <w:szCs w:val="20"/>
        </w:rPr>
        <w:t>favour</w:t>
      </w:r>
      <w:proofErr w:type="spellEnd"/>
      <w:r w:rsidRPr="007A23B7">
        <w:rPr>
          <w:rFonts w:cs="Times New Roman"/>
          <w:sz w:val="20"/>
          <w:szCs w:val="20"/>
        </w:rPr>
        <w:t xml:space="preserve"> country home. Last year, his company was embroiled in an acrimonious battle over its plan to build 1,500 homes in a new town near Cambridge without fulfilling the minimum room sizes wanted by the council.</w:t>
      </w:r>
    </w:p>
    <w:p w:rsidR="007A23B7" w:rsidRDefault="007A23B7" w:rsidP="007A23B7">
      <w:pPr>
        <w:ind w:firstLine="720"/>
        <w:rPr>
          <w:rFonts w:cs="Times New Roman"/>
          <w:sz w:val="20"/>
          <w:szCs w:val="20"/>
        </w:rPr>
      </w:pPr>
    </w:p>
    <w:p w:rsidR="007A23B7" w:rsidRDefault="007A23B7" w:rsidP="007A23B7">
      <w:pPr>
        <w:ind w:firstLine="720"/>
        <w:rPr>
          <w:rFonts w:cs="Times New Roman"/>
          <w:sz w:val="20"/>
          <w:szCs w:val="20"/>
        </w:rPr>
      </w:pPr>
    </w:p>
    <w:p w:rsidR="007A23B7" w:rsidRPr="007A23B7" w:rsidRDefault="007A23B7" w:rsidP="007A23B7">
      <w:pPr>
        <w:ind w:firstLine="720"/>
        <w:rPr>
          <w:rFonts w:cs="Times New Roman"/>
          <w:color w:val="FF0000"/>
          <w:szCs w:val="24"/>
        </w:rPr>
      </w:pPr>
      <w:r w:rsidRPr="007A23B7">
        <w:rPr>
          <w:rFonts w:cs="Times New Roman"/>
          <w:color w:val="FF0000"/>
          <w:szCs w:val="24"/>
        </w:rPr>
        <w:t xml:space="preserve">{  I suggest that appointments to houses of parliaments </w:t>
      </w:r>
      <w:r w:rsidR="00896C24">
        <w:rPr>
          <w:rFonts w:cs="Times New Roman"/>
          <w:color w:val="FF0000"/>
          <w:szCs w:val="24"/>
        </w:rPr>
        <w:t xml:space="preserve">(and other similar matters) </w:t>
      </w:r>
      <w:r w:rsidRPr="007A23B7">
        <w:rPr>
          <w:rFonts w:cs="Times New Roman"/>
          <w:color w:val="FF0000"/>
          <w:szCs w:val="24"/>
        </w:rPr>
        <w:t>should not be in the hands of political parties</w:t>
      </w:r>
      <w:r w:rsidR="00413B29">
        <w:rPr>
          <w:rFonts w:cs="Times New Roman"/>
          <w:color w:val="FF0000"/>
          <w:szCs w:val="24"/>
        </w:rPr>
        <w:t xml:space="preserve"> or their leaders</w:t>
      </w:r>
      <w:r w:rsidRPr="007A23B7">
        <w:rPr>
          <w:rFonts w:cs="Times New Roman"/>
          <w:color w:val="FF0000"/>
          <w:szCs w:val="24"/>
        </w:rPr>
        <w:t>, nor in the hands of what are called “</w:t>
      </w:r>
      <w:r w:rsidR="00413B29">
        <w:rPr>
          <w:rFonts w:cs="Times New Roman"/>
          <w:color w:val="FF0000"/>
          <w:szCs w:val="24"/>
        </w:rPr>
        <w:t>shadow governments</w:t>
      </w:r>
      <w:r w:rsidRPr="007A23B7">
        <w:rPr>
          <w:rFonts w:cs="Times New Roman"/>
          <w:color w:val="FF0000"/>
          <w:szCs w:val="24"/>
        </w:rPr>
        <w:t xml:space="preserve">” </w:t>
      </w:r>
      <w:r w:rsidR="00413B29">
        <w:rPr>
          <w:rFonts w:cs="Times New Roman"/>
          <w:color w:val="FF0000"/>
          <w:szCs w:val="24"/>
        </w:rPr>
        <w:t>or their leaders either.</w:t>
      </w:r>
      <w:r w:rsidRPr="007A23B7">
        <w:rPr>
          <w:rFonts w:cs="Times New Roman"/>
          <w:color w:val="FF0000"/>
          <w:szCs w:val="24"/>
        </w:rPr>
        <w:t xml:space="preserve"> }</w:t>
      </w:r>
    </w:p>
    <w:p w:rsidR="007A23B7" w:rsidRDefault="007A23B7" w:rsidP="007A23B7">
      <w:pPr>
        <w:ind w:firstLine="720"/>
        <w:rPr>
          <w:rFonts w:cs="Times New Roman"/>
          <w:sz w:val="20"/>
          <w:szCs w:val="20"/>
        </w:rPr>
      </w:pPr>
    </w:p>
    <w:p w:rsidR="007A23B7" w:rsidRPr="007A23B7" w:rsidRDefault="007A23B7" w:rsidP="007A23B7">
      <w:pPr>
        <w:ind w:firstLine="720"/>
        <w:rPr>
          <w:rFonts w:cs="Times New Roman"/>
          <w:sz w:val="20"/>
          <w:szCs w:val="20"/>
        </w:rPr>
      </w:pPr>
    </w:p>
    <w:p w:rsidR="007A23B7" w:rsidRDefault="007A23B7" w:rsidP="007A23B7">
      <w:pPr>
        <w:rPr>
          <w:rFonts w:cs="Times New Roman"/>
          <w:sz w:val="20"/>
          <w:szCs w:val="20"/>
        </w:rPr>
      </w:pPr>
    </w:p>
    <w:p w:rsidR="007A23B7" w:rsidRDefault="007A23B7" w:rsidP="007A23B7">
      <w:pPr>
        <w:ind w:firstLine="720"/>
        <w:rPr>
          <w:rFonts w:cs="Times New Roman"/>
          <w:sz w:val="20"/>
          <w:szCs w:val="20"/>
        </w:rPr>
      </w:pPr>
      <w:r>
        <w:rPr>
          <w:rFonts w:cs="Times New Roman"/>
          <w:sz w:val="20"/>
          <w:szCs w:val="20"/>
        </w:rPr>
        <w:t xml:space="preserve">--- </w:t>
      </w:r>
      <w:r w:rsidRPr="007A23B7">
        <w:rPr>
          <w:rFonts w:cs="Times New Roman"/>
          <w:sz w:val="20"/>
          <w:szCs w:val="20"/>
        </w:rPr>
        <w:t>https://www.theguardian.com/politics/2016/jul/31/donors-aides-and-remainers-dominate-secret-cameron-honours-list</w:t>
      </w:r>
    </w:p>
    <w:p w:rsidR="007A23B7" w:rsidRDefault="007A23B7" w:rsidP="007A23B7">
      <w:pPr>
        <w:rPr>
          <w:rFonts w:cs="Times New Roman"/>
          <w:sz w:val="20"/>
          <w:szCs w:val="20"/>
        </w:rPr>
      </w:pPr>
    </w:p>
    <w:p w:rsidR="007A23B7" w:rsidRDefault="007A23B7" w:rsidP="007A23B7">
      <w:pPr>
        <w:rPr>
          <w:rFonts w:cs="Times New Roman"/>
          <w:sz w:val="20"/>
          <w:szCs w:val="20"/>
        </w:rPr>
      </w:pPr>
    </w:p>
    <w:p w:rsidR="007A23B7" w:rsidRDefault="007A23B7" w:rsidP="007A23B7">
      <w:pPr>
        <w:rPr>
          <w:rFonts w:cs="Times New Roman"/>
          <w:sz w:val="20"/>
          <w:szCs w:val="20"/>
        </w:rPr>
      </w:pPr>
    </w:p>
    <w:p w:rsidR="007A23B7" w:rsidRDefault="007A23B7" w:rsidP="007A23B7">
      <w:pPr>
        <w:rPr>
          <w:rFonts w:cs="Times New Roman"/>
          <w:sz w:val="20"/>
          <w:szCs w:val="20"/>
        </w:rPr>
      </w:pPr>
    </w:p>
    <w:p w:rsidR="00E86899" w:rsidRDefault="00E86899" w:rsidP="00E86899">
      <w:pPr>
        <w:rPr>
          <w:rFonts w:cs="Times New Roman"/>
          <w:sz w:val="20"/>
          <w:szCs w:val="20"/>
        </w:rPr>
      </w:pPr>
    </w:p>
    <w:p w:rsidR="00E86899" w:rsidRDefault="00E86899" w:rsidP="00E86899">
      <w:pPr>
        <w:rPr>
          <w:rFonts w:cs="Times New Roman"/>
          <w:sz w:val="20"/>
          <w:szCs w:val="20"/>
        </w:rPr>
      </w:pPr>
    </w:p>
    <w:p w:rsidR="00413B29" w:rsidRDefault="00413B29" w:rsidP="00E86899">
      <w:pPr>
        <w:rPr>
          <w:rFonts w:cs="Times New Roman"/>
          <w:sz w:val="20"/>
          <w:szCs w:val="20"/>
        </w:rPr>
      </w:pPr>
    </w:p>
    <w:p w:rsidR="00413B29" w:rsidRDefault="00413B29" w:rsidP="00E86899">
      <w:pPr>
        <w:rPr>
          <w:rFonts w:cs="Times New Roman"/>
          <w:sz w:val="20"/>
          <w:szCs w:val="20"/>
        </w:rPr>
      </w:pPr>
    </w:p>
    <w:p w:rsidR="005A7D81" w:rsidRPr="005A7D81" w:rsidRDefault="005A7D81" w:rsidP="005A7D81">
      <w:pPr>
        <w:rPr>
          <w:rFonts w:cs="Times New Roman"/>
          <w:sz w:val="20"/>
          <w:szCs w:val="20"/>
        </w:rPr>
      </w:pPr>
    </w:p>
    <w:p w:rsidR="005A7D81" w:rsidRPr="005A7D81" w:rsidRDefault="005A7D81" w:rsidP="005A7D81">
      <w:pPr>
        <w:rPr>
          <w:rFonts w:cs="Times New Roman"/>
          <w:sz w:val="20"/>
          <w:szCs w:val="20"/>
        </w:rPr>
      </w:pPr>
    </w:p>
    <w:p w:rsidR="005A7D81" w:rsidRPr="005A7D81" w:rsidRDefault="005A7D81" w:rsidP="005A7D81">
      <w:pPr>
        <w:rPr>
          <w:rFonts w:cs="Times New Roman"/>
          <w:sz w:val="28"/>
          <w:szCs w:val="28"/>
        </w:rPr>
      </w:pPr>
      <w:proofErr w:type="spellStart"/>
      <w:r w:rsidRPr="005A7D81">
        <w:rPr>
          <w:rFonts w:cs="Times New Roman"/>
          <w:sz w:val="28"/>
          <w:szCs w:val="28"/>
        </w:rPr>
        <w:t>Warlordism</w:t>
      </w:r>
      <w:proofErr w:type="spellEnd"/>
      <w:r w:rsidRPr="005A7D81">
        <w:rPr>
          <w:rFonts w:cs="Times New Roman"/>
          <w:sz w:val="28"/>
          <w:szCs w:val="28"/>
        </w:rPr>
        <w:t xml:space="preserve"> and terrorism: how to obscure an already confusing crisis? The case of Somalia</w:t>
      </w:r>
    </w:p>
    <w:p w:rsidR="005A7D81" w:rsidRDefault="005A7D81" w:rsidP="005A7D81">
      <w:pPr>
        <w:rPr>
          <w:rFonts w:ascii="Arial" w:hAnsi="Arial" w:cs="Arial"/>
          <w:sz w:val="20"/>
          <w:szCs w:val="20"/>
        </w:rPr>
      </w:pPr>
      <w:r w:rsidRPr="005A7D81">
        <w:rPr>
          <w:rFonts w:ascii="Arial" w:hAnsi="Arial" w:cs="Arial"/>
          <w:sz w:val="20"/>
          <w:szCs w:val="20"/>
        </w:rPr>
        <w:t>ROLAND MARCHAL</w:t>
      </w:r>
      <w:r>
        <w:rPr>
          <w:rFonts w:ascii="Arial" w:hAnsi="Arial" w:cs="Arial"/>
          <w:sz w:val="20"/>
          <w:szCs w:val="20"/>
        </w:rPr>
        <w:t xml:space="preserve">   -    </w:t>
      </w:r>
      <w:r w:rsidRPr="005A7D81">
        <w:rPr>
          <w:rFonts w:ascii="Arial" w:hAnsi="Arial" w:cs="Arial"/>
          <w:sz w:val="20"/>
          <w:szCs w:val="20"/>
        </w:rPr>
        <w:t xml:space="preserve">October </w:t>
      </w:r>
      <w:r>
        <w:rPr>
          <w:rFonts w:ascii="Arial" w:hAnsi="Arial" w:cs="Arial"/>
          <w:sz w:val="20"/>
          <w:szCs w:val="20"/>
        </w:rPr>
        <w:t xml:space="preserve">22, </w:t>
      </w:r>
      <w:r w:rsidRPr="005A7D81">
        <w:rPr>
          <w:rFonts w:ascii="Arial" w:hAnsi="Arial" w:cs="Arial"/>
          <w:sz w:val="20"/>
          <w:szCs w:val="20"/>
        </w:rPr>
        <w:t>2007</w:t>
      </w:r>
    </w:p>
    <w:p w:rsidR="005A7D81" w:rsidRDefault="005A7D81" w:rsidP="005A7D81">
      <w:pPr>
        <w:rPr>
          <w:rFonts w:ascii="Arial" w:hAnsi="Arial" w:cs="Arial"/>
          <w:sz w:val="20"/>
          <w:szCs w:val="20"/>
        </w:rPr>
      </w:pPr>
    </w:p>
    <w:p w:rsidR="005A7D81" w:rsidRDefault="005A7D81" w:rsidP="005A7D81">
      <w:pPr>
        <w:rPr>
          <w:rFonts w:ascii="Arial" w:hAnsi="Arial" w:cs="Arial"/>
          <w:sz w:val="20"/>
          <w:szCs w:val="20"/>
        </w:rPr>
      </w:pPr>
    </w:p>
    <w:p w:rsidR="005A7D81" w:rsidRDefault="005A7D81" w:rsidP="005A7D81">
      <w:pPr>
        <w:ind w:firstLine="720"/>
        <w:rPr>
          <w:rFonts w:ascii="Arial" w:hAnsi="Arial" w:cs="Arial"/>
          <w:sz w:val="20"/>
          <w:szCs w:val="20"/>
        </w:rPr>
      </w:pPr>
      <w:r w:rsidRPr="005A7D81">
        <w:rPr>
          <w:rFonts w:ascii="Arial" w:hAnsi="Arial" w:cs="Arial"/>
          <w:sz w:val="20"/>
          <w:szCs w:val="20"/>
        </w:rPr>
        <w:t>This article demonstrates how concepts and notions such as ‘</w:t>
      </w:r>
      <w:proofErr w:type="spellStart"/>
      <w:r w:rsidRPr="005A7D81">
        <w:rPr>
          <w:rFonts w:ascii="Arial" w:hAnsi="Arial" w:cs="Arial"/>
          <w:sz w:val="20"/>
          <w:szCs w:val="20"/>
        </w:rPr>
        <w:t>warlordism</w:t>
      </w:r>
      <w:proofErr w:type="spellEnd"/>
      <w:r w:rsidRPr="005A7D81">
        <w:rPr>
          <w:rFonts w:ascii="Arial" w:hAnsi="Arial" w:cs="Arial"/>
          <w:sz w:val="20"/>
          <w:szCs w:val="20"/>
        </w:rPr>
        <w:t>’ and ‘terrorism’, supposedly framed to enable an understanding of complex crises, can have exactly the opposite effect. It exposes their conceptual ambiguity, a factor contributing to their success, and comments on their practical app</w:t>
      </w:r>
      <w:r>
        <w:rPr>
          <w:rFonts w:ascii="Arial" w:hAnsi="Arial" w:cs="Arial"/>
          <w:sz w:val="20"/>
          <w:szCs w:val="20"/>
        </w:rPr>
        <w:t>lication in the Somali context.</w:t>
      </w:r>
    </w:p>
    <w:p w:rsidR="005A7D81" w:rsidRDefault="005A7D81" w:rsidP="005A7D81">
      <w:pPr>
        <w:ind w:firstLine="720"/>
        <w:rPr>
          <w:rFonts w:ascii="Arial" w:hAnsi="Arial" w:cs="Arial"/>
          <w:sz w:val="20"/>
          <w:szCs w:val="20"/>
        </w:rPr>
      </w:pPr>
    </w:p>
    <w:p w:rsidR="005A7D81" w:rsidRDefault="005A7D81" w:rsidP="005A7D81">
      <w:pPr>
        <w:ind w:firstLine="720"/>
        <w:rPr>
          <w:rFonts w:ascii="Arial" w:hAnsi="Arial" w:cs="Arial"/>
          <w:sz w:val="20"/>
          <w:szCs w:val="20"/>
        </w:rPr>
      </w:pPr>
      <w:r w:rsidRPr="005A7D81">
        <w:rPr>
          <w:rFonts w:ascii="Arial" w:hAnsi="Arial" w:cs="Arial"/>
          <w:sz w:val="20"/>
          <w:szCs w:val="20"/>
        </w:rPr>
        <w:t xml:space="preserve">The article seeks to </w:t>
      </w:r>
      <w:proofErr w:type="spellStart"/>
      <w:r w:rsidRPr="005A7D81">
        <w:rPr>
          <w:rFonts w:ascii="Arial" w:hAnsi="Arial" w:cs="Arial"/>
          <w:sz w:val="20"/>
          <w:szCs w:val="20"/>
        </w:rPr>
        <w:t>analyse</w:t>
      </w:r>
      <w:proofErr w:type="spellEnd"/>
      <w:r w:rsidRPr="005A7D81">
        <w:rPr>
          <w:rFonts w:ascii="Arial" w:hAnsi="Arial" w:cs="Arial"/>
          <w:sz w:val="20"/>
          <w:szCs w:val="20"/>
        </w:rPr>
        <w:t xml:space="preserve"> how these two ‘categories’ have contributed to building a specific ‘regime of truth’</w:t>
      </w:r>
      <w:r>
        <w:rPr>
          <w:rFonts w:ascii="Arial" w:hAnsi="Arial" w:cs="Arial"/>
          <w:sz w:val="20"/>
          <w:szCs w:val="20"/>
        </w:rPr>
        <w:t xml:space="preserve"> </w:t>
      </w:r>
      <w:r w:rsidRPr="005A7D81">
        <w:rPr>
          <w:rFonts w:ascii="Arial" w:hAnsi="Arial" w:cs="Arial"/>
          <w:sz w:val="20"/>
          <w:szCs w:val="20"/>
        </w:rPr>
        <w:t>—</w:t>
      </w:r>
      <w:r>
        <w:rPr>
          <w:rFonts w:ascii="Arial" w:hAnsi="Arial" w:cs="Arial"/>
          <w:sz w:val="20"/>
          <w:szCs w:val="20"/>
        </w:rPr>
        <w:t xml:space="preserve"> </w:t>
      </w:r>
      <w:r w:rsidRPr="005A7D81">
        <w:rPr>
          <w:rFonts w:ascii="Arial" w:hAnsi="Arial" w:cs="Arial"/>
          <w:sz w:val="20"/>
          <w:szCs w:val="20"/>
        </w:rPr>
        <w:t>vocabulary, assumptions of meaning, labels and narratives that function to select and interpret events, emphasizing som</w:t>
      </w:r>
      <w:r>
        <w:rPr>
          <w:rFonts w:ascii="Arial" w:hAnsi="Arial" w:cs="Arial"/>
          <w:sz w:val="20"/>
          <w:szCs w:val="20"/>
        </w:rPr>
        <w:t>e and disregarding many others.</w:t>
      </w:r>
    </w:p>
    <w:p w:rsidR="005A7D81" w:rsidRDefault="005A7D81" w:rsidP="005A7D81">
      <w:pPr>
        <w:ind w:firstLine="720"/>
        <w:rPr>
          <w:rFonts w:ascii="Arial" w:hAnsi="Arial" w:cs="Arial"/>
          <w:sz w:val="20"/>
          <w:szCs w:val="20"/>
        </w:rPr>
      </w:pPr>
    </w:p>
    <w:p w:rsidR="005A7D81" w:rsidRDefault="005A7D81" w:rsidP="005A7D81">
      <w:pPr>
        <w:ind w:firstLine="720"/>
        <w:rPr>
          <w:rFonts w:ascii="Arial" w:hAnsi="Arial" w:cs="Arial"/>
          <w:sz w:val="20"/>
          <w:szCs w:val="20"/>
        </w:rPr>
      </w:pPr>
      <w:r w:rsidRPr="005A7D81">
        <w:rPr>
          <w:rFonts w:ascii="Arial" w:hAnsi="Arial" w:cs="Arial"/>
          <w:sz w:val="20"/>
          <w:szCs w:val="20"/>
        </w:rPr>
        <w:t>The article presents the argument that the recurrent mobilization of these particular expressions has resulted not in deepening analysis, but rather in sifting information and providing moral condemnation and political prescription that are highly debatable.</w:t>
      </w:r>
    </w:p>
    <w:p w:rsidR="005A7D81" w:rsidRDefault="005A7D81" w:rsidP="005A7D81">
      <w:pPr>
        <w:rPr>
          <w:rFonts w:ascii="Arial" w:hAnsi="Arial" w:cs="Arial"/>
          <w:sz w:val="20"/>
          <w:szCs w:val="20"/>
        </w:rPr>
      </w:pPr>
    </w:p>
    <w:p w:rsidR="005A7D81" w:rsidRPr="005A7D81" w:rsidRDefault="005A7D81" w:rsidP="005A7D81">
      <w:pPr>
        <w:ind w:left="2880"/>
        <w:rPr>
          <w:rFonts w:cs="Times New Roman"/>
          <w:sz w:val="20"/>
          <w:szCs w:val="20"/>
        </w:rPr>
      </w:pPr>
      <w:r w:rsidRPr="005A7D81">
        <w:rPr>
          <w:rFonts w:cs="Times New Roman"/>
          <w:sz w:val="20"/>
          <w:szCs w:val="20"/>
        </w:rPr>
        <w:t>--- http://onlinelibrary.wiley.com/doi/10.1111/j.1468-2346.2007.00675.x/full</w:t>
      </w:r>
    </w:p>
    <w:p w:rsidR="005A7D81" w:rsidRDefault="005A7D81" w:rsidP="005A7D81">
      <w:pPr>
        <w:rPr>
          <w:rFonts w:ascii="Arial" w:hAnsi="Arial" w:cs="Arial"/>
          <w:sz w:val="20"/>
          <w:szCs w:val="20"/>
        </w:rPr>
      </w:pPr>
    </w:p>
    <w:p w:rsidR="005A7D81" w:rsidRDefault="005A7D81" w:rsidP="005A7D81">
      <w:pPr>
        <w:rPr>
          <w:rFonts w:ascii="Arial" w:hAnsi="Arial" w:cs="Arial"/>
          <w:sz w:val="20"/>
          <w:szCs w:val="20"/>
        </w:rPr>
      </w:pPr>
    </w:p>
    <w:p w:rsidR="005A7D81" w:rsidRDefault="005A7D81" w:rsidP="005A7D81">
      <w:pPr>
        <w:rPr>
          <w:rFonts w:ascii="Arial" w:hAnsi="Arial" w:cs="Arial"/>
          <w:sz w:val="20"/>
          <w:szCs w:val="20"/>
        </w:rPr>
      </w:pPr>
    </w:p>
    <w:p w:rsidR="005A7D81" w:rsidRDefault="005A7D81" w:rsidP="005A7D81">
      <w:pPr>
        <w:rPr>
          <w:rFonts w:ascii="Arial" w:hAnsi="Arial" w:cs="Arial"/>
          <w:sz w:val="20"/>
          <w:szCs w:val="20"/>
        </w:rPr>
      </w:pPr>
    </w:p>
    <w:p w:rsidR="005A7D81" w:rsidRDefault="005A7D81" w:rsidP="005A7D81">
      <w:pPr>
        <w:rPr>
          <w:rFonts w:ascii="Arial" w:hAnsi="Arial" w:cs="Arial"/>
          <w:sz w:val="20"/>
          <w:szCs w:val="20"/>
        </w:rPr>
      </w:pPr>
    </w:p>
    <w:p w:rsidR="005A7D81" w:rsidRDefault="005A7D81" w:rsidP="005A7D81">
      <w:pPr>
        <w:rPr>
          <w:rFonts w:ascii="Arial" w:hAnsi="Arial" w:cs="Arial"/>
          <w:sz w:val="20"/>
          <w:szCs w:val="20"/>
        </w:rPr>
      </w:pPr>
    </w:p>
    <w:p w:rsidR="005A7D81" w:rsidRDefault="005A7D81" w:rsidP="005A7D81">
      <w:pPr>
        <w:rPr>
          <w:rFonts w:ascii="Arial" w:hAnsi="Arial" w:cs="Arial"/>
          <w:sz w:val="20"/>
          <w:szCs w:val="20"/>
        </w:rPr>
      </w:pPr>
    </w:p>
    <w:p w:rsidR="005A7D81" w:rsidRDefault="005A7D81" w:rsidP="005A7D81">
      <w:pPr>
        <w:rPr>
          <w:rFonts w:ascii="Arial" w:hAnsi="Arial" w:cs="Arial"/>
          <w:sz w:val="20"/>
          <w:szCs w:val="20"/>
        </w:rPr>
      </w:pPr>
    </w:p>
    <w:p w:rsidR="005A7D81" w:rsidRDefault="005A7D81" w:rsidP="005A7D81">
      <w:pPr>
        <w:rPr>
          <w:rFonts w:ascii="Arial" w:hAnsi="Arial" w:cs="Arial"/>
          <w:sz w:val="20"/>
          <w:szCs w:val="20"/>
        </w:rPr>
      </w:pPr>
    </w:p>
    <w:p w:rsidR="005A7D81" w:rsidRDefault="005A7D81" w:rsidP="005A7D81">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cs="Times New Roman"/>
          <w:sz w:val="28"/>
          <w:szCs w:val="28"/>
        </w:rPr>
      </w:pPr>
      <w:r w:rsidRPr="003C6B5F">
        <w:rPr>
          <w:rFonts w:cs="Times New Roman"/>
          <w:sz w:val="28"/>
          <w:szCs w:val="28"/>
        </w:rPr>
        <w:t>Human rights a</w:t>
      </w:r>
      <w:r w:rsidRPr="003C6B5F">
        <w:rPr>
          <w:rFonts w:cs="Times New Roman"/>
          <w:sz w:val="28"/>
          <w:szCs w:val="28"/>
        </w:rPr>
        <w:t>nd the belief in a just world</w:t>
      </w:r>
    </w:p>
    <w:p w:rsidR="003C6B5F" w:rsidRDefault="003C6B5F" w:rsidP="003C6B5F">
      <w:pPr>
        <w:rPr>
          <w:rFonts w:ascii="Arial" w:hAnsi="Arial" w:cs="Arial"/>
          <w:sz w:val="20"/>
          <w:szCs w:val="20"/>
        </w:rPr>
      </w:pPr>
      <w:r>
        <w:rPr>
          <w:rFonts w:ascii="Arial" w:hAnsi="Arial" w:cs="Arial"/>
          <w:sz w:val="20"/>
          <w:szCs w:val="20"/>
        </w:rPr>
        <w:t xml:space="preserve">Günter Frankenberg   -   </w:t>
      </w:r>
      <w:r w:rsidRPr="003C6B5F">
        <w:rPr>
          <w:rFonts w:ascii="Arial" w:hAnsi="Arial" w:cs="Arial"/>
          <w:sz w:val="20"/>
          <w:szCs w:val="20"/>
        </w:rPr>
        <w:t>International Journal of Constituti</w:t>
      </w:r>
      <w:r>
        <w:rPr>
          <w:rFonts w:ascii="Arial" w:hAnsi="Arial" w:cs="Arial"/>
          <w:sz w:val="20"/>
          <w:szCs w:val="20"/>
        </w:rPr>
        <w:t xml:space="preserve">onal Law, Volume 12, Issue 1, </w:t>
      </w:r>
      <w:r w:rsidRPr="003C6B5F">
        <w:rPr>
          <w:rFonts w:ascii="Arial" w:hAnsi="Arial" w:cs="Arial"/>
          <w:sz w:val="20"/>
          <w:szCs w:val="20"/>
        </w:rPr>
        <w:t xml:space="preserve">January </w:t>
      </w:r>
      <w:r>
        <w:rPr>
          <w:rFonts w:ascii="Arial" w:hAnsi="Arial" w:cs="Arial"/>
          <w:sz w:val="20"/>
          <w:szCs w:val="20"/>
        </w:rPr>
        <w:t>1, 2014</w:t>
      </w:r>
    </w:p>
    <w:p w:rsidR="003C6B5F" w:rsidRDefault="003C6B5F" w:rsidP="003C6B5F">
      <w:pPr>
        <w:rPr>
          <w:rFonts w:ascii="Arial" w:hAnsi="Arial" w:cs="Arial"/>
          <w:sz w:val="20"/>
          <w:szCs w:val="20"/>
        </w:rPr>
      </w:pPr>
      <w:r w:rsidRPr="003C6B5F">
        <w:rPr>
          <w:rFonts w:ascii="Arial" w:hAnsi="Arial" w:cs="Arial"/>
          <w:sz w:val="20"/>
          <w:szCs w:val="20"/>
        </w:rPr>
        <w:t xml:space="preserve">Pages 35–60, https://doi.org/10.1093/icon/mot068 </w:t>
      </w:r>
    </w:p>
    <w:p w:rsid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AF242D" w:rsidRDefault="003C6B5F" w:rsidP="003C6B5F">
      <w:pPr>
        <w:ind w:firstLine="720"/>
        <w:rPr>
          <w:rFonts w:ascii="Arial" w:hAnsi="Arial" w:cs="Arial"/>
          <w:sz w:val="20"/>
          <w:szCs w:val="20"/>
        </w:rPr>
      </w:pPr>
      <w:r w:rsidRPr="003C6B5F">
        <w:rPr>
          <w:rFonts w:ascii="Arial" w:hAnsi="Arial" w:cs="Arial"/>
          <w:sz w:val="20"/>
          <w:szCs w:val="20"/>
        </w:rPr>
        <w:t xml:space="preserve">Human rights law has made an astounding career as a globally available vocabulary and narrative for abuses of power, miserable living conditions </w:t>
      </w:r>
      <w:r w:rsidR="00AF242D">
        <w:rPr>
          <w:rFonts w:ascii="Arial" w:hAnsi="Arial" w:cs="Arial"/>
          <w:sz w:val="20"/>
          <w:szCs w:val="20"/>
        </w:rPr>
        <w:t>and a vision of a better world.</w:t>
      </w:r>
    </w:p>
    <w:p w:rsidR="00AF242D" w:rsidRDefault="00AF242D" w:rsidP="003C6B5F">
      <w:pPr>
        <w:ind w:firstLine="720"/>
        <w:rPr>
          <w:rFonts w:ascii="Arial" w:hAnsi="Arial" w:cs="Arial"/>
          <w:sz w:val="20"/>
          <w:szCs w:val="20"/>
        </w:rPr>
      </w:pPr>
    </w:p>
    <w:p w:rsidR="003C6B5F" w:rsidRDefault="003C6B5F" w:rsidP="00AF242D">
      <w:pPr>
        <w:ind w:firstLine="720"/>
        <w:rPr>
          <w:rFonts w:ascii="Arial" w:hAnsi="Arial" w:cs="Arial"/>
          <w:sz w:val="20"/>
          <w:szCs w:val="20"/>
        </w:rPr>
      </w:pPr>
      <w:r w:rsidRPr="003C6B5F">
        <w:rPr>
          <w:rFonts w:ascii="Arial" w:hAnsi="Arial" w:cs="Arial"/>
          <w:sz w:val="20"/>
          <w:szCs w:val="20"/>
        </w:rPr>
        <w:t xml:space="preserve">This success story is challenged </w:t>
      </w:r>
      <w:r w:rsidR="00AF242D">
        <w:rPr>
          <w:rFonts w:ascii="Arial" w:hAnsi="Arial" w:cs="Arial"/>
          <w:sz w:val="20"/>
          <w:szCs w:val="20"/>
        </w:rPr>
        <w:t xml:space="preserve">[here]  . . .   </w:t>
      </w:r>
    </w:p>
    <w:p w:rsidR="00AF242D" w:rsidRDefault="00AF242D" w:rsidP="00AF242D">
      <w:pPr>
        <w:ind w:firstLine="720"/>
        <w:rPr>
          <w:rFonts w:ascii="Arial" w:hAnsi="Arial" w:cs="Arial"/>
          <w:sz w:val="20"/>
          <w:szCs w:val="20"/>
        </w:rPr>
      </w:pPr>
    </w:p>
    <w:p w:rsidR="00AF242D" w:rsidRPr="003C6B5F" w:rsidRDefault="00AF242D" w:rsidP="00AF242D">
      <w:pPr>
        <w:ind w:firstLine="720"/>
        <w:rPr>
          <w:rFonts w:ascii="Arial" w:hAnsi="Arial" w:cs="Arial"/>
          <w:sz w:val="20"/>
          <w:szCs w:val="20"/>
        </w:rPr>
      </w:pPr>
    </w:p>
    <w:p w:rsidR="00AF242D" w:rsidRDefault="00AF242D" w:rsidP="00AF242D">
      <w:pPr>
        <w:ind w:firstLine="720"/>
        <w:rPr>
          <w:rFonts w:ascii="Arial" w:hAnsi="Arial" w:cs="Arial"/>
          <w:sz w:val="20"/>
          <w:szCs w:val="20"/>
        </w:rPr>
      </w:pPr>
      <w:r>
        <w:rPr>
          <w:rFonts w:ascii="Arial" w:hAnsi="Arial" w:cs="Arial"/>
          <w:sz w:val="20"/>
          <w:szCs w:val="20"/>
        </w:rPr>
        <w:t xml:space="preserve">. . .   </w:t>
      </w:r>
      <w:r w:rsidR="003C6B5F" w:rsidRPr="003C6B5F">
        <w:rPr>
          <w:rFonts w:ascii="Arial" w:hAnsi="Arial" w:cs="Arial"/>
          <w:sz w:val="20"/>
          <w:szCs w:val="20"/>
        </w:rPr>
        <w:t>From psychologists we learn that “the ‘belief’ in a fair world is one of the most basic and also one of the most fundamentally deluded</w:t>
      </w:r>
      <w:r>
        <w:rPr>
          <w:rFonts w:ascii="Arial" w:hAnsi="Arial" w:cs="Arial"/>
          <w:sz w:val="20"/>
          <w:szCs w:val="20"/>
        </w:rPr>
        <w:t xml:space="preserve"> [likely the author meant that the belief that the word is just is a delusion]</w:t>
      </w:r>
      <w:r w:rsidR="003C6B5F" w:rsidRPr="003C6B5F">
        <w:rPr>
          <w:rFonts w:ascii="Arial" w:hAnsi="Arial" w:cs="Arial"/>
          <w:sz w:val="20"/>
          <w:szCs w:val="20"/>
        </w:rPr>
        <w:t xml:space="preserve"> characteris</w:t>
      </w:r>
      <w:r>
        <w:rPr>
          <w:rFonts w:ascii="Arial" w:hAnsi="Arial" w:cs="Arial"/>
          <w:sz w:val="20"/>
          <w:szCs w:val="20"/>
        </w:rPr>
        <w:t>tics of the human brain.”</w:t>
      </w:r>
    </w:p>
    <w:p w:rsidR="00AF242D" w:rsidRDefault="00AF242D" w:rsidP="00AF242D">
      <w:pPr>
        <w:rPr>
          <w:rFonts w:ascii="Arial" w:hAnsi="Arial" w:cs="Arial"/>
          <w:sz w:val="20"/>
          <w:szCs w:val="20"/>
        </w:rPr>
      </w:pPr>
    </w:p>
    <w:p w:rsidR="003C6B5F" w:rsidRDefault="003C6B5F" w:rsidP="00AF242D">
      <w:pPr>
        <w:ind w:firstLine="720"/>
        <w:rPr>
          <w:rFonts w:ascii="Arial" w:hAnsi="Arial" w:cs="Arial"/>
          <w:sz w:val="20"/>
          <w:szCs w:val="20"/>
        </w:rPr>
      </w:pPr>
      <w:r w:rsidRPr="003C6B5F">
        <w:rPr>
          <w:rFonts w:ascii="Arial" w:hAnsi="Arial" w:cs="Arial"/>
          <w:sz w:val="20"/>
          <w:szCs w:val="20"/>
        </w:rPr>
        <w:t xml:space="preserve">This desire for justice is so strong that victims of </w:t>
      </w:r>
      <w:r w:rsidR="00AF242D">
        <w:rPr>
          <w:rFonts w:ascii="Arial" w:hAnsi="Arial" w:cs="Arial"/>
          <w:sz w:val="20"/>
          <w:szCs w:val="20"/>
        </w:rPr>
        <w:t>injustice, unless they are maso</w:t>
      </w:r>
      <w:r w:rsidRPr="003C6B5F">
        <w:rPr>
          <w:rFonts w:ascii="Arial" w:hAnsi="Arial" w:cs="Arial"/>
          <w:sz w:val="20"/>
          <w:szCs w:val="20"/>
        </w:rPr>
        <w:t xml:space="preserve">chists who enjoy their suffering, will protect their faith in a just world by either denying or minimizing the unfairness they have experienced, or by believing that “these injustices are </w:t>
      </w:r>
      <w:proofErr w:type="spellStart"/>
      <w:r w:rsidRPr="003C6B5F">
        <w:rPr>
          <w:rFonts w:ascii="Arial" w:hAnsi="Arial" w:cs="Arial"/>
          <w:sz w:val="20"/>
          <w:szCs w:val="20"/>
        </w:rPr>
        <w:t>en</w:t>
      </w:r>
      <w:proofErr w:type="spellEnd"/>
      <w:r w:rsidRPr="003C6B5F">
        <w:rPr>
          <w:rFonts w:ascii="Arial" w:hAnsi="Arial" w:cs="Arial"/>
          <w:sz w:val="20"/>
          <w:szCs w:val="20"/>
        </w:rPr>
        <w:t xml:space="preserve"> route to being amended, or that they are counterbalanced by greater benefits</w:t>
      </w:r>
      <w:r w:rsidR="00AF242D">
        <w:rPr>
          <w:rFonts w:ascii="Arial" w:hAnsi="Arial" w:cs="Arial"/>
          <w:sz w:val="20"/>
          <w:szCs w:val="20"/>
        </w:rPr>
        <w:t>, or that they are inevitable,”</w:t>
      </w:r>
      <w:r w:rsidRPr="003C6B5F">
        <w:rPr>
          <w:rFonts w:ascii="Arial" w:hAnsi="Arial" w:cs="Arial"/>
          <w:sz w:val="20"/>
          <w:szCs w:val="20"/>
        </w:rPr>
        <w:t xml:space="preserve"> or by seeing themselves as the source of all the pr</w:t>
      </w:r>
      <w:r w:rsidR="00AF242D">
        <w:rPr>
          <w:rFonts w:ascii="Arial" w:hAnsi="Arial" w:cs="Arial"/>
          <w:sz w:val="20"/>
          <w:szCs w:val="20"/>
        </w:rPr>
        <w:t>oblems that may have caused it.</w:t>
      </w:r>
    </w:p>
    <w:p w:rsidR="00AF242D" w:rsidRDefault="00AF242D" w:rsidP="00AF242D">
      <w:pPr>
        <w:ind w:firstLine="720"/>
        <w:rPr>
          <w:rFonts w:ascii="Arial" w:hAnsi="Arial" w:cs="Arial"/>
          <w:sz w:val="20"/>
          <w:szCs w:val="20"/>
        </w:rPr>
      </w:pPr>
    </w:p>
    <w:p w:rsidR="00AF242D" w:rsidRDefault="00AF242D" w:rsidP="00AF242D">
      <w:pPr>
        <w:ind w:firstLine="720"/>
        <w:rPr>
          <w:rFonts w:ascii="Arial" w:hAnsi="Arial" w:cs="Arial"/>
          <w:sz w:val="20"/>
          <w:szCs w:val="20"/>
        </w:rPr>
      </w:pPr>
    </w:p>
    <w:p w:rsidR="00AF242D" w:rsidRPr="00AF242D" w:rsidRDefault="00AF242D" w:rsidP="00AF242D">
      <w:pPr>
        <w:ind w:firstLine="720"/>
        <w:rPr>
          <w:rFonts w:cs="Times New Roman"/>
          <w:color w:val="FF0000"/>
          <w:szCs w:val="24"/>
        </w:rPr>
      </w:pPr>
      <w:r w:rsidRPr="00AF242D">
        <w:rPr>
          <w:rFonts w:cs="Times New Roman"/>
          <w:color w:val="FF0000"/>
          <w:szCs w:val="24"/>
        </w:rPr>
        <w:t>{ For your consideration here is a rewrite of the above that it is conceivable that the author secretly advocates to a select group of insiders:</w:t>
      </w:r>
    </w:p>
    <w:p w:rsidR="00AF242D" w:rsidRPr="00AF242D" w:rsidRDefault="00AF242D" w:rsidP="00AF242D">
      <w:pPr>
        <w:ind w:firstLine="720"/>
        <w:rPr>
          <w:rFonts w:cs="Times New Roman"/>
          <w:color w:val="FF0000"/>
          <w:szCs w:val="24"/>
        </w:rPr>
      </w:pPr>
    </w:p>
    <w:p w:rsidR="00AF242D" w:rsidRPr="00AF242D" w:rsidRDefault="00AF242D" w:rsidP="00AF242D">
      <w:pPr>
        <w:ind w:firstLine="720"/>
        <w:rPr>
          <w:rFonts w:cs="Times New Roman"/>
          <w:color w:val="FF0000"/>
          <w:szCs w:val="24"/>
        </w:rPr>
      </w:pPr>
      <w:r w:rsidRPr="00AF242D">
        <w:rPr>
          <w:rFonts w:cs="Times New Roman"/>
          <w:color w:val="FF0000"/>
          <w:szCs w:val="24"/>
        </w:rPr>
        <w:t>This desire that there is</w:t>
      </w:r>
      <w:r w:rsidRPr="00AF242D">
        <w:rPr>
          <w:rFonts w:cs="Times New Roman"/>
          <w:color w:val="FF0000"/>
          <w:szCs w:val="24"/>
        </w:rPr>
        <w:t xml:space="preserve"> justice is so strong that victims of </w:t>
      </w:r>
      <w:r w:rsidRPr="00AF242D">
        <w:rPr>
          <w:rFonts w:cs="Times New Roman"/>
          <w:color w:val="FF0000"/>
          <w:szCs w:val="24"/>
        </w:rPr>
        <w:t xml:space="preserve">our injustice, unless they are like us who enjoy </w:t>
      </w:r>
      <w:r w:rsidRPr="00AF242D">
        <w:rPr>
          <w:rFonts w:cs="Times New Roman"/>
          <w:color w:val="FF0000"/>
          <w:szCs w:val="24"/>
        </w:rPr>
        <w:t xml:space="preserve">suffering, will protect their faith in a just world by </w:t>
      </w:r>
      <w:r w:rsidR="004542D1">
        <w:rPr>
          <w:rFonts w:cs="Times New Roman"/>
          <w:color w:val="FF0000"/>
          <w:szCs w:val="24"/>
        </w:rPr>
        <w:t>either denying or minimizing our</w:t>
      </w:r>
      <w:r w:rsidRPr="00AF242D">
        <w:rPr>
          <w:rFonts w:cs="Times New Roman"/>
          <w:color w:val="FF0000"/>
          <w:szCs w:val="24"/>
        </w:rPr>
        <w:t xml:space="preserve"> unfairness </w:t>
      </w:r>
      <w:r w:rsidR="004542D1">
        <w:rPr>
          <w:rFonts w:cs="Times New Roman"/>
          <w:color w:val="FF0000"/>
          <w:szCs w:val="24"/>
        </w:rPr>
        <w:t xml:space="preserve">that </w:t>
      </w:r>
      <w:r w:rsidRPr="00AF242D">
        <w:rPr>
          <w:rFonts w:cs="Times New Roman"/>
          <w:color w:val="FF0000"/>
          <w:szCs w:val="24"/>
        </w:rPr>
        <w:t>they have experienced, or by believing that “these injustices are en route to being amended, or that they are counterbalanced by greater benefits</w:t>
      </w:r>
      <w:r w:rsidR="004542D1">
        <w:rPr>
          <w:rFonts w:cs="Times New Roman"/>
          <w:color w:val="FF0000"/>
          <w:szCs w:val="24"/>
        </w:rPr>
        <w:t xml:space="preserve"> yet to come</w:t>
      </w:r>
      <w:r w:rsidRPr="00AF242D">
        <w:rPr>
          <w:rFonts w:cs="Times New Roman"/>
          <w:color w:val="FF0000"/>
          <w:szCs w:val="24"/>
        </w:rPr>
        <w:t>, or that they are inevitable,”</w:t>
      </w:r>
      <w:r w:rsidRPr="00AF242D">
        <w:rPr>
          <w:rFonts w:cs="Times New Roman"/>
          <w:color w:val="FF0000"/>
          <w:szCs w:val="24"/>
        </w:rPr>
        <w:t xml:space="preserve"> or by seeing </w:t>
      </w:r>
      <w:r w:rsidR="00E51666" w:rsidRPr="00AF242D">
        <w:rPr>
          <w:rFonts w:cs="Times New Roman"/>
          <w:color w:val="FF0000"/>
          <w:szCs w:val="24"/>
        </w:rPr>
        <w:t>themselves, because</w:t>
      </w:r>
      <w:r w:rsidRPr="00AF242D">
        <w:rPr>
          <w:rFonts w:cs="Times New Roman"/>
          <w:color w:val="FF0000"/>
          <w:szCs w:val="24"/>
        </w:rPr>
        <w:t xml:space="preserve"> we have tricked them into thinking this, </w:t>
      </w:r>
      <w:r w:rsidRPr="00AF242D">
        <w:rPr>
          <w:rFonts w:cs="Times New Roman"/>
          <w:color w:val="FF0000"/>
          <w:szCs w:val="24"/>
        </w:rPr>
        <w:t>as the source of all the pr</w:t>
      </w:r>
      <w:r w:rsidRPr="00AF242D">
        <w:rPr>
          <w:rFonts w:cs="Times New Roman"/>
          <w:color w:val="FF0000"/>
          <w:szCs w:val="24"/>
        </w:rPr>
        <w:t>oblems that may have caused it.  }</w:t>
      </w:r>
    </w:p>
    <w:p w:rsidR="003C6B5F" w:rsidRPr="003C6B5F" w:rsidRDefault="003C6B5F" w:rsidP="003C6B5F">
      <w:pPr>
        <w:rPr>
          <w:rFonts w:ascii="Arial" w:hAnsi="Arial" w:cs="Arial"/>
          <w:sz w:val="20"/>
          <w:szCs w:val="20"/>
        </w:rPr>
      </w:pPr>
    </w:p>
    <w:p w:rsidR="003C6B5F" w:rsidRPr="003C6B5F" w:rsidRDefault="003C6B5F" w:rsidP="00456E26">
      <w:pPr>
        <w:ind w:firstLine="720"/>
        <w:rPr>
          <w:rFonts w:ascii="Arial" w:hAnsi="Arial" w:cs="Arial"/>
          <w:sz w:val="20"/>
          <w:szCs w:val="20"/>
        </w:rPr>
      </w:pPr>
      <w:r w:rsidRPr="003C6B5F">
        <w:rPr>
          <w:rFonts w:ascii="Arial" w:hAnsi="Arial" w:cs="Arial"/>
          <w:sz w:val="20"/>
          <w:szCs w:val="20"/>
        </w:rPr>
        <w:lastRenderedPageBreak/>
        <w:t>In other words, victims recode their experience as tragedy that, at best, offers a somber reconciliation, and they resign themselves to the conditions in which they live and labor. Or they recast the injustice they experienced as a comedy that holds out hope for the temporary triumph of humans over their world and the prospect of temporary reconciliation and harmony. Or, in a move to self-victimization, they simply replace the lead player of the tragic plot.</w:t>
      </w:r>
    </w:p>
    <w:p w:rsidR="003C6B5F" w:rsidRPr="003C6B5F" w:rsidRDefault="003C6B5F" w:rsidP="003C6B5F">
      <w:pPr>
        <w:rPr>
          <w:rFonts w:ascii="Arial" w:hAnsi="Arial" w:cs="Arial"/>
          <w:sz w:val="20"/>
          <w:szCs w:val="20"/>
        </w:rPr>
      </w:pPr>
    </w:p>
    <w:p w:rsidR="003C6B5F" w:rsidRPr="003C6B5F" w:rsidRDefault="003C6B5F" w:rsidP="00456E26">
      <w:pPr>
        <w:ind w:firstLine="720"/>
        <w:rPr>
          <w:rFonts w:ascii="Arial" w:hAnsi="Arial" w:cs="Arial"/>
          <w:sz w:val="20"/>
          <w:szCs w:val="20"/>
        </w:rPr>
      </w:pPr>
      <w:bookmarkStart w:id="0" w:name="_GoBack"/>
      <w:bookmarkEnd w:id="0"/>
      <w:r w:rsidRPr="003C6B5F">
        <w:rPr>
          <w:rFonts w:ascii="Arial" w:hAnsi="Arial" w:cs="Arial"/>
          <w:sz w:val="20"/>
          <w:szCs w:val="20"/>
        </w:rPr>
        <w:t xml:space="preserve">By the same token, witnesses to injustice, unless they are cynics who do not mind inhabiting an exploitative social order,6 uphold their hope in a just world by means of narratives told from a normative point of view, </w:t>
      </w:r>
      <w:proofErr w:type="spellStart"/>
      <w:r w:rsidRPr="003C6B5F">
        <w:rPr>
          <w:rFonts w:ascii="Arial" w:hAnsi="Arial" w:cs="Arial"/>
          <w:sz w:val="20"/>
          <w:szCs w:val="20"/>
        </w:rPr>
        <w:t>emplotting</w:t>
      </w:r>
      <w:proofErr w:type="spellEnd"/>
      <w:r w:rsidRPr="003C6B5F">
        <w:rPr>
          <w:rFonts w:ascii="Arial" w:hAnsi="Arial" w:cs="Arial"/>
          <w:sz w:val="20"/>
          <w:szCs w:val="20"/>
        </w:rPr>
        <w:t xml:space="preserve"> reality as romance and thus transcending the world of nasty experiences. Such a view allows narrators to confront the facts of a “bad reality,” where individuals are abused, groups discriminated against, and their basic needs neglected, with the counterfactual force of stories they find encapsulated in legal norms or principles of justice, prominently embodied in human rights law. They change the register from tragedy (or sometimes comedy) to a romantic plot, and invoke “salvation descend[</w:t>
      </w:r>
      <w:proofErr w:type="spellStart"/>
      <w:r w:rsidRPr="003C6B5F">
        <w:rPr>
          <w:rFonts w:ascii="Arial" w:hAnsi="Arial" w:cs="Arial"/>
          <w:sz w:val="20"/>
          <w:szCs w:val="20"/>
        </w:rPr>
        <w:t>ing</w:t>
      </w:r>
      <w:proofErr w:type="spellEnd"/>
      <w:r w:rsidRPr="003C6B5F">
        <w:rPr>
          <w:rFonts w:ascii="Arial" w:hAnsi="Arial" w:cs="Arial"/>
          <w:sz w:val="20"/>
          <w:szCs w:val="20"/>
        </w:rPr>
        <w:t>] on the bruised [human] spirit”7 by presenting human rights as redeeming insights and instruments to overcome the evil.</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Human rights law has made an astounding career as a globally available vocabulary8 and narrative for either scandalous abuses of power and miserable living conditions or a vision of a better world—a world where rights guarantee that conflicts are solved in a civil way, trials are fair, children grow up not suffering from privation, women receive equal pay, the police don’t profile racially, persons with disabilities participate fully in all spheres of life, and even the interests of future generations command adequate concern and respect.9 Reading human rights as a drama of redemption or occasional reconciliation draws its liberating appeal from the widespread view that these rights are inventions of reason and justice and therefore very much incarnate the good and offer the last resort in an evil world.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The success story of human rights10 has always been challenged by critics who </w:t>
      </w:r>
      <w:proofErr w:type="spellStart"/>
      <w:r w:rsidRPr="003C6B5F">
        <w:rPr>
          <w:rFonts w:ascii="Arial" w:hAnsi="Arial" w:cs="Arial"/>
          <w:sz w:val="20"/>
          <w:szCs w:val="20"/>
        </w:rPr>
        <w:t>emplot</w:t>
      </w:r>
      <w:proofErr w:type="spellEnd"/>
      <w:r w:rsidRPr="003C6B5F">
        <w:rPr>
          <w:rFonts w:ascii="Arial" w:hAnsi="Arial" w:cs="Arial"/>
          <w:sz w:val="20"/>
          <w:szCs w:val="20"/>
        </w:rPr>
        <w:t xml:space="preserve"> reality as tragedy, setting narrow and unreliable limits on what can be aspired to in the quest for security and sanity in the world, or even as satire—a drama of redemption.11 However, the prospect of redemption from tyranny and misery (romance) or reconciliation after trials and tribulations (comedy) could hardly be obscured by narratives criticizing “human rights fundamentalism”12—the absolutism of the human rights rhetoric—or “the contrast between the celebratory and self-congratulatory rhetoric of human rights and the perception of the world’s reality”;13 realist accounts of the (lacking) effectiveness of human rights treaties to change the behavior of states for the better;14 analyses of the ambivalence of human rights;15 or skeptical assessments of their value or strategic advantage over other competing—political, economic, etc.—vocabularies.16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Notwithstanding these critiques, the romantic, normative point of view of human rights law has been progressively anchored in human rights treaties and defended by human rights institutions; and it has been proliferating in the ever-more burgeoning human rights literature. The following considerations are not meant to downplay the positive effects of human rights law but intend to unsettle the routines of the ongoing, too narrowly </w:t>
      </w:r>
      <w:proofErr w:type="spellStart"/>
      <w:r w:rsidRPr="003C6B5F">
        <w:rPr>
          <w:rFonts w:ascii="Arial" w:hAnsi="Arial" w:cs="Arial"/>
          <w:sz w:val="20"/>
          <w:szCs w:val="20"/>
        </w:rPr>
        <w:t>normativist</w:t>
      </w:r>
      <w:proofErr w:type="spellEnd"/>
      <w:r w:rsidRPr="003C6B5F">
        <w:rPr>
          <w:rFonts w:ascii="Arial" w:hAnsi="Arial" w:cs="Arial"/>
          <w:sz w:val="20"/>
          <w:szCs w:val="20"/>
        </w:rPr>
        <w:t xml:space="preserve"> discourse, and call into question the moral high ground that discourse explicitly or implicitly claims to occupy. This is why I first introduce the concepts of narrative and justification, before taking a look at crucial varieties of human rights narratives—mythology and ideology. Finally, the human rights narratives are read as a story of normalization; and I ask what gets lost when these rights intervene in the way things are and are used to manage controversy. Against the overwhelming </w:t>
      </w:r>
      <w:proofErr w:type="spellStart"/>
      <w:r w:rsidRPr="003C6B5F">
        <w:rPr>
          <w:rFonts w:ascii="Arial" w:hAnsi="Arial" w:cs="Arial"/>
          <w:sz w:val="20"/>
          <w:szCs w:val="20"/>
        </w:rPr>
        <w:t>romanticization</w:t>
      </w:r>
      <w:proofErr w:type="spellEnd"/>
      <w:r w:rsidRPr="003C6B5F">
        <w:rPr>
          <w:rFonts w:ascii="Arial" w:hAnsi="Arial" w:cs="Arial"/>
          <w:sz w:val="20"/>
          <w:szCs w:val="20"/>
        </w:rPr>
        <w:t xml:space="preserve"> of routine,17 this article renders a more pragmatic and skeptical assessment of human rights, their vocabulary and narrative, as well as defends their polemical origins (a truly romantic moment), which I believe will do more for the human rights project than merely reiterating the normative point of view.</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 Human rights as narratives of justification</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2.1. Legal narratives: coming to terms with contingency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A narrative may be tentatively defined as a story created in a constructive format as a written work, a speech, an image, etc., that describes a sequence of fictional or non-fictional events, thus joining </w:t>
      </w:r>
      <w:r w:rsidRPr="003C6B5F">
        <w:rPr>
          <w:rFonts w:ascii="Arial" w:hAnsi="Arial" w:cs="Arial"/>
          <w:sz w:val="20"/>
          <w:szCs w:val="20"/>
        </w:rPr>
        <w:lastRenderedPageBreak/>
        <w:t>description, explanation, and argumentation as another rhetorical mode of discourse. In the social and legal sciences, the understanding of narrative18 has been influenced by the assumption, elaborated in narrative psychology, that human beings give their life meaning by rendering their experience in the form of a story. The point of departure is not a collection of facts but the embeddedness of the narrating subject in space and time. While in psychology, the biographical story functions as a construction of the self,19 in historiography, the social sciences, and literary theory, the narrative style—allowing a historical, political, or social event to develop the way one would expect it to in a story—may be regarded as a reaction to the linguistic turn informed by postmodern theories.20 In one of the most influential manifestoes, Hayden White characterizes “</w:t>
      </w:r>
      <w:proofErr w:type="spellStart"/>
      <w:r w:rsidRPr="003C6B5F">
        <w:rPr>
          <w:rFonts w:ascii="Arial" w:hAnsi="Arial" w:cs="Arial"/>
          <w:sz w:val="20"/>
          <w:szCs w:val="20"/>
        </w:rPr>
        <w:t>narrativity</w:t>
      </w:r>
      <w:proofErr w:type="spellEnd"/>
      <w:r w:rsidRPr="003C6B5F">
        <w:rPr>
          <w:rFonts w:ascii="Arial" w:hAnsi="Arial" w:cs="Arial"/>
          <w:sz w:val="20"/>
          <w:szCs w:val="20"/>
        </w:rPr>
        <w:t>” as “a discourse that feigns the world speak itself and speak itself as a story”: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 historical narrative, as against the chronicle, reveals to us a world that is putatively “finished,” done with, over, and yet not dissolved, not falling apart. In this world, reality wears the mask of a meaning, the completeness and fullness of which we can only imagine, never experience. Insofar as historical stories can be completed, can be given narrative closure, can be shown to have had a plot all along, they give to reality the odor of the real. This is why the plot of a historical narrative is always an embarrassment and has to be presented as ‘found’ in the events rather than put there by narrative techniques.21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 academic and forensic citadels of law have for a long time resisted the influx of narrative style. Lawyers and legal scholars have traditionally tended to insist that their texts are strictly factual accounts (the facts of a case) and/or purely logical-doctrinal deductions (legal reasoning)—that no one utters but the law itself tells.22 Gradually, however, this resistance has caved in as it was realized that narrative gives a language to communicate ideas, events, and feelings in the (deluded?) search for justice.23 Scholars—some tracking the linguistic turn, others following a postmodern or just a different, unlabeled path, yet others joining the law and literature movement—tentatively approached or were ready to embrace narrativity.24 They analyzed the narrative techniques of law, recognized that narrative has always already been present in law, or used legal storytelling as more authentic, concrete, and embodied in legal analysis or syllogism.25 They paved the way for an understanding of legal narratives not as a product of some distant time or an abstract logic, but an attempt of the narrator to map out, from the perspective of the here and now, a coherent story about a series of disparate past events.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Like narrations in the everyday world or other sciences, legal science stories establish a relationship between why, or at least how, something happened and turned into a memorable event, and what will come of it. Courts routinely state “the facts of a case” as a story. Similarly, theoretical and doctrinal legal narratives try to come to terms with contingency by embedding singular events or facts in a historical or logical connection. This connection may be a systematic scheme or (ideological) pattern, such as stories of “generations of human rights,”26 their “migration,”27 and transfer.28 </w:t>
      </w:r>
      <w:proofErr w:type="gramStart"/>
      <w:r w:rsidRPr="003C6B5F">
        <w:rPr>
          <w:rFonts w:ascii="Arial" w:hAnsi="Arial" w:cs="Arial"/>
          <w:sz w:val="20"/>
          <w:szCs w:val="20"/>
        </w:rPr>
        <w:t>Especially</w:t>
      </w:r>
      <w:proofErr w:type="gramEnd"/>
      <w:r w:rsidRPr="003C6B5F">
        <w:rPr>
          <w:rFonts w:ascii="Arial" w:hAnsi="Arial" w:cs="Arial"/>
          <w:sz w:val="20"/>
          <w:szCs w:val="20"/>
        </w:rPr>
        <w:t xml:space="preserve"> the continuous flow of constitutional or legal history lends itself to narrative corroboration:</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Our Constitution is a covenant running from the first generation of Americans to us and then to future generation. It is a coherent succession.29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Strong narrative components of the law have always been, albeit not always duly re cognized, the story of the case at hand interwoven with the precedent or a rule and the courts’ attempts to present their opinion as “seamless webs of arguments”:30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Liberty finds no refuge in a jurisprudence of doubt. Yet 19 years after our holding that the Constitution protects a woman’s right to terminate her pregnancy in its early stages, 410 Roe v. Wade 113 (1973), that definition is still questioned. . . . Our cases recognize “the right of the individual, married or single, to be free from unwarranted governmental intrusion” . . . . Our precedents have respected the private realm of family life . . . </w:t>
      </w:r>
      <w:proofErr w:type="gramStart"/>
      <w:r w:rsidRPr="003C6B5F">
        <w:rPr>
          <w:rFonts w:ascii="Arial" w:hAnsi="Arial" w:cs="Arial"/>
          <w:sz w:val="20"/>
          <w:szCs w:val="20"/>
        </w:rPr>
        <w:t>.31</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lastRenderedPageBreak/>
        <w:t xml:space="preserve">Legal narratives also come as legislative histories accompanying statutes, or are encapsulated, at times elaborated, in the preambles of constitutions.32 </w:t>
      </w:r>
      <w:proofErr w:type="gramStart"/>
      <w:r w:rsidRPr="003C6B5F">
        <w:rPr>
          <w:rFonts w:ascii="Arial" w:hAnsi="Arial" w:cs="Arial"/>
          <w:sz w:val="20"/>
          <w:szCs w:val="20"/>
        </w:rPr>
        <w:t>They</w:t>
      </w:r>
      <w:proofErr w:type="gramEnd"/>
      <w:r w:rsidRPr="003C6B5F">
        <w:rPr>
          <w:rFonts w:ascii="Arial" w:hAnsi="Arial" w:cs="Arial"/>
          <w:sz w:val="20"/>
          <w:szCs w:val="20"/>
        </w:rPr>
        <w:t xml:space="preserve"> differ from ordinary stories, though. While the utility value of the latter depends on their informational content, suspense, or entertainment, moral uplift, etc., law’s conventional narratives require a coherent or at least plausible structure (reasoned doctrinal elaboration, chain of precedents) to lend credence or rationality to the counterfactual meaning and authoritative force.33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2.2. Justifying injustice</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Human rights narratives are cast in a language of entitlement concerning their holders, and in terms of responsibility with respect of states, international and national institutions, and courts that provide for the protection of those rights. Both entitlement and responsibility also imply exoneration and justification: “[W]hat is not in is out. To prohibit abuse is to authorize whatever does not constitute abuse. . . . With rights come rationales for setting them aside.”34 Thus, human rights have become central to justificatory arguments for war and military intervention.35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In fact, however, human rights offer an array of narratives, for instance, justifying organized (state) violence: in the international context the doctrine of just war, “humanitarian intervention,” and more recently the “responsibility to protect” feature prominently.36 In the domestic context, lawyers come to the defense of the rights of “innocent victims” in “ticking bomb” situations by legitimizing “rescue torture” and the intercepting and downing of “renegade aircraft” hijacked by terrorists.37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In everyday usage, justification refers to a dimension of social interaction, namely the way in which a participant or an advocate, from a first-person perspective, defends her actions or decisions, standards or beliefs to others so as to make them (appear) “right” or “acceptable.” The impression of commonness fades once different disciplines advance their peculiar meanings of justification.38 The term is anything but unequivocal, even if we disregard the technical concept of alignment, the religious connotation of the forgiveness of sins, the psychological usage of justification as a defense mechanism</w:t>
      </w:r>
      <w:proofErr w:type="gramStart"/>
      <w:r w:rsidRPr="003C6B5F">
        <w:rPr>
          <w:rFonts w:ascii="Arial" w:hAnsi="Arial" w:cs="Arial"/>
          <w:sz w:val="20"/>
          <w:szCs w:val="20"/>
        </w:rPr>
        <w:t>,39</w:t>
      </w:r>
      <w:proofErr w:type="gramEnd"/>
      <w:r w:rsidRPr="003C6B5F">
        <w:rPr>
          <w:rFonts w:ascii="Arial" w:hAnsi="Arial" w:cs="Arial"/>
          <w:sz w:val="20"/>
          <w:szCs w:val="20"/>
        </w:rPr>
        <w:t xml:space="preserve"> and the narrow notion in criminal jurisprudence of a defense against criminal charges or exemption from criminal liability.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In the political–legal realm, justification as a rhetorical mode usually responds to a real or imaginary challenge by giving reasons in an elaborate, story-like way. A justifier tries to render acceptable actions, decisions, beliefs, or programs which deviate from a given standard, break a promise, or disappoint the expectation of justice (otherwise, it would suffice to “explain” how things turned out). A justification is meant to alleviate dissatisfaction or curb disobedience, and, quite often, prevent or settle a controversy by “explaining away” a cognitive, normative, or emotional dissonance. In this vein, the US and UK governments tried to justify their violating international law by ordering the military invasion of Iraq without a clear and present mandate of the UN Security Council, with a fabricated story of “weapons of mass destruction” (WMD) stockpiled in that country and threatening humankind.40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Legal justification figures as a crucial element of conflict management by communicating a normative point of view. Narratives of justification throw a light—tinged by law, ethics, or morality—on what is narrated, and, thus, bestow it and also how it is narrated with an authoritative meaning and legitimizing force: Just war, humanitarian intervention, civilizing mission, rescue torture, detaining illegal combatants, war on terror, etc., are concepts elevated by the sound of rightfulness.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What then needs to be justified in law and politics? Generally speaking, the operation of making something just is provoked by a why-question and based on a comparison requiring that a certain asymmetry be “explained away.” Regarding the burden of justification, two ideal-typical situations can be distinguished: First, if something is clearly unjust the difference between the way things are and the way they should be needs to be “explained away” contrary to the evidence of injustice. In such situations, typically presented as extreme or extraordinary cases, justificatory narratives elaborate why injustice is necessary or has to be tolerated for the time being in the name of a higher value or interest often located outside the law. Accordingly, the infamous “Enabling Act” and the “Decree for the Protection of People and State,” which suspended the Weimar Constitution and paved the way for the Nazi regime, were declared to remedy “the distress of the people” and to “stave off communist violence.” 41 The occupation </w:t>
      </w:r>
      <w:r w:rsidRPr="003C6B5F">
        <w:rPr>
          <w:rFonts w:ascii="Arial" w:hAnsi="Arial" w:cs="Arial"/>
          <w:sz w:val="20"/>
          <w:szCs w:val="20"/>
        </w:rPr>
        <w:lastRenderedPageBreak/>
        <w:t>of foreign territories, unless claimed to be “devoid of all civil inhabitants,”42 and their exploitation have been legitimized by one or the other “mission:”</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 intervenors, when challenged, always resort to a moral justification—natural law and Christianity in the sixteenth century, the civilizing mission in the nineteenth century, and human rights and democracy in the late twentieth and twenty-first centuries.43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Executors of the “dictatorship of the proletariat” had regularly, if implicit, recourse to their superior insight into the scriptures of Marxism-Leninism or, more abstractly, the “scientific laws of socialism.” History, class, and the demands of the revolution transcended what the individual might consider her right or legitimate interest:</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Being guided by the interests of the working class as a whole, the Russian Socialist Federated Soviet Republic deprives all individuals and groups of rights which could be utilized by them to the detriment of the socialist revolution.44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However, the more justificatory narratives diverge from expectations of justice or perpetuate themselves with scant empirical content, they resort to myth or mutate into ideology masking blatant injustice—despotism, extreme poverty, or the infliction of unwarranted cruelty—and turning the belief in a just world into what once was somewhat innocently called “false consciousness,” as will be shown below.</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 comparison of the way things are with how they should be becomes more complex and entails more sophisticated argumentative techniques of justification, if something may be considered unfair or illegal because it arguably deviates from or violates a given normative standard or rule or disappoints reasonable expectations. Justificatory narratives may then try to bridge the gap between the “is” and the “ought,” and clear some action, decision, or event of blame or criticism by offering one of the following storylines: (a) they admit that in this one case, justice was miscarried and the mistake will be corrected on appeal; (b) they claim that the law provided for an exception; or that (c) the disadvantaged will be duly compensated.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Accordingly, politicians (and their legal advisors) will justify secret government practices, if they cannot be condoned routinely, by arguing that, as a matter of constitutional law, an executive privilege shields them from any obligation to disclose information.45 They may claim to be exempt from criminal prosecution or refer to “implied powers” that come with the office or function.46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Beneficiaries of a given distribution of goods or entitlements tend to vindicate their benefits as obtained “of right” or “within the law.” To veil the lack of legitimacy or the impression of unfairness, legislators (or any elite) taking over, without authorization, the constituent power, are likely to invoke a special mission (see supra) and think of compensating those excluded: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 deputies] entrusted with legislative power, will seize constituent power on behalf of the nation even in the absence of any explicit charge to do so, in this revolutionary usurpation of power, the gap in legitimacy will be filled by “presenting the people with the tables of the essential rights, under the title of ‘Declaration of Rights’.”47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2.3. Narratives of justification and human rights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Human rights stories have different layers—variations of justification—as will be shown later. In politics and academia, they play a crucial, albeit at times questionable, role which illustrates to what extent human rights have become icons of modernity, aspects of socio-political identity, and benchmarks for judging other societies and polities.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lastRenderedPageBreak/>
        <w:t xml:space="preserve">Ritually, political leaders, traditionally in Russia, China, and peripheral countries, have to respond to queries (from Western politicians) regarding the human rights situation in their country, before the delegations then go ahead with concluding economic deals or sitting down to dinner. In the context of foreign policy, national interests, economic intentions, and ideological hegemony are reconstructed in human rights terms.48 </w:t>
      </w:r>
      <w:proofErr w:type="gramStart"/>
      <w:r w:rsidRPr="003C6B5F">
        <w:rPr>
          <w:rFonts w:ascii="Arial" w:hAnsi="Arial" w:cs="Arial"/>
          <w:sz w:val="20"/>
          <w:szCs w:val="20"/>
        </w:rPr>
        <w:t>Meanwhile</w:t>
      </w:r>
      <w:proofErr w:type="gramEnd"/>
      <w:r w:rsidRPr="003C6B5F">
        <w:rPr>
          <w:rFonts w:ascii="Arial" w:hAnsi="Arial" w:cs="Arial"/>
          <w:sz w:val="20"/>
          <w:szCs w:val="20"/>
        </w:rPr>
        <w:t>, even the organizers of sports events have adopted the human rights terminology. Therefore, Russian anti-gay laws banning the “propaganda of nontraditional sexual relations to minors” and, incidentally disregarding a ruling of the European Court of Human Rights</w:t>
      </w:r>
      <w:proofErr w:type="gramStart"/>
      <w:r w:rsidRPr="003C6B5F">
        <w:rPr>
          <w:rFonts w:ascii="Arial" w:hAnsi="Arial" w:cs="Arial"/>
          <w:sz w:val="20"/>
          <w:szCs w:val="20"/>
        </w:rPr>
        <w:t>,49</w:t>
      </w:r>
      <w:proofErr w:type="gramEnd"/>
      <w:r w:rsidRPr="003C6B5F">
        <w:rPr>
          <w:rFonts w:ascii="Arial" w:hAnsi="Arial" w:cs="Arial"/>
          <w:sz w:val="20"/>
          <w:szCs w:val="20"/>
        </w:rPr>
        <w:t xml:space="preserve"> sparked protests against the 2014 Winter Olympics in Sochi; but once again, the indomitable opportunism of the International Olympic Committee is likely to prevail.</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Finally, with the proliferation of the human rights language as a global idiom, military commanders have also learned to dress up military actions in terms of justice and human rights: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[J]</w:t>
      </w:r>
      <w:proofErr w:type="spellStart"/>
      <w:r w:rsidRPr="003C6B5F">
        <w:rPr>
          <w:rFonts w:ascii="Arial" w:hAnsi="Arial" w:cs="Arial"/>
          <w:sz w:val="20"/>
          <w:szCs w:val="20"/>
        </w:rPr>
        <w:t>ustice</w:t>
      </w:r>
      <w:proofErr w:type="spellEnd"/>
      <w:r w:rsidRPr="003C6B5F">
        <w:rPr>
          <w:rFonts w:ascii="Arial" w:hAnsi="Arial" w:cs="Arial"/>
          <w:sz w:val="20"/>
          <w:szCs w:val="20"/>
        </w:rPr>
        <w:t xml:space="preserve"> has become, in all Western countries, one of the tests that any proposed military strategy has to meet . . . moral theory has been incorporated into war-making as a real constraint on when and how wars are fought.50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A world apart, it would seem, in the academia, narratives of justification follow a different path. They present and set normative standards for the way things ought to be, and no longer or not always strictly compare the “is” with the “ought,” but initiate a philosophical or jurisprudential project of reasoned elaboration. It often starts from past memories of injustice, fear, and oppression.51 On the mode of normative construction, visions of humanity and society, of needs and interests, are translated into possibly more coherent, well-grounded principles of justice52 and human rights53 guaranteeing primarily dignity,54 integrity, autonomy, and equality.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As distinct from stories informed by a practical political-legal purpose, these normative narratives invariably claim to take human rights seriously and are preoccupied with the systematic rational elucidation of normative propositions, ideas, and beliefs. It is virtually impossible to recount here the richness and variety of minimalist or maximalist, individualist or collectivist, ethical–moral or political–legal, universalist or relativist stories elaborating human rights as situated on national, transnational, or international planes, with or without a “free-standing moral normativity”—developed from basic needs or interests, informed by a “global public reason,” based on an “overlapping consensus” or emanating from discursive procedures. Nor do I wish to participate or take sides in the “race to the bottom,” to wit, the search for the ultimate and most fundamental of all human rights. The list is already long (enough), covering the “right to have rights” (Hannah Arendt), the “right to equal concern and respect” (Ronald Dworkin) and dignity (Pico </w:t>
      </w:r>
      <w:proofErr w:type="spellStart"/>
      <w:r w:rsidRPr="003C6B5F">
        <w:rPr>
          <w:rFonts w:ascii="Arial" w:hAnsi="Arial" w:cs="Arial"/>
          <w:sz w:val="20"/>
          <w:szCs w:val="20"/>
        </w:rPr>
        <w:t>della</w:t>
      </w:r>
      <w:proofErr w:type="spellEnd"/>
      <w:r w:rsidRPr="003C6B5F">
        <w:rPr>
          <w:rFonts w:ascii="Arial" w:hAnsi="Arial" w:cs="Arial"/>
          <w:sz w:val="20"/>
          <w:szCs w:val="20"/>
        </w:rPr>
        <w:t xml:space="preserve"> </w:t>
      </w:r>
      <w:proofErr w:type="spellStart"/>
      <w:r w:rsidRPr="003C6B5F">
        <w:rPr>
          <w:rFonts w:ascii="Arial" w:hAnsi="Arial" w:cs="Arial"/>
          <w:sz w:val="20"/>
          <w:szCs w:val="20"/>
        </w:rPr>
        <w:t>Mirandola</w:t>
      </w:r>
      <w:proofErr w:type="spellEnd"/>
      <w:r w:rsidRPr="003C6B5F">
        <w:rPr>
          <w:rFonts w:ascii="Arial" w:hAnsi="Arial" w:cs="Arial"/>
          <w:sz w:val="20"/>
          <w:szCs w:val="20"/>
        </w:rPr>
        <w:t xml:space="preserve">); the </w:t>
      </w:r>
      <w:proofErr w:type="spellStart"/>
      <w:r w:rsidRPr="003C6B5F">
        <w:rPr>
          <w:rFonts w:ascii="Arial" w:hAnsi="Arial" w:cs="Arial"/>
          <w:sz w:val="20"/>
          <w:szCs w:val="20"/>
        </w:rPr>
        <w:t>equi</w:t>
      </w:r>
      <w:proofErr w:type="spellEnd"/>
      <w:r w:rsidRPr="003C6B5F">
        <w:rPr>
          <w:rFonts w:ascii="Arial" w:hAnsi="Arial" w:cs="Arial"/>
          <w:sz w:val="20"/>
          <w:szCs w:val="20"/>
        </w:rPr>
        <w:t xml:space="preserve">-original concept of private and political autonomy (Jürgen </w:t>
      </w:r>
      <w:proofErr w:type="spellStart"/>
      <w:r w:rsidRPr="003C6B5F">
        <w:rPr>
          <w:rFonts w:ascii="Arial" w:hAnsi="Arial" w:cs="Arial"/>
          <w:sz w:val="20"/>
          <w:szCs w:val="20"/>
        </w:rPr>
        <w:t>Habermas</w:t>
      </w:r>
      <w:proofErr w:type="spellEnd"/>
      <w:r w:rsidRPr="003C6B5F">
        <w:rPr>
          <w:rFonts w:ascii="Arial" w:hAnsi="Arial" w:cs="Arial"/>
          <w:sz w:val="20"/>
          <w:szCs w:val="20"/>
        </w:rPr>
        <w:t xml:space="preserve">) and the “right to justification” (Rainer </w:t>
      </w:r>
      <w:proofErr w:type="spellStart"/>
      <w:r w:rsidRPr="003C6B5F">
        <w:rPr>
          <w:rFonts w:ascii="Arial" w:hAnsi="Arial" w:cs="Arial"/>
          <w:sz w:val="20"/>
          <w:szCs w:val="20"/>
        </w:rPr>
        <w:t>Forst</w:t>
      </w:r>
      <w:proofErr w:type="spellEnd"/>
      <w:r w:rsidRPr="003C6B5F">
        <w:rPr>
          <w:rFonts w:ascii="Arial" w:hAnsi="Arial" w:cs="Arial"/>
          <w:sz w:val="20"/>
          <w:szCs w:val="20"/>
        </w:rPr>
        <w:t>); the right to membership in a political society (</w:t>
      </w:r>
      <w:proofErr w:type="spellStart"/>
      <w:r w:rsidRPr="003C6B5F">
        <w:rPr>
          <w:rFonts w:ascii="Arial" w:hAnsi="Arial" w:cs="Arial"/>
          <w:sz w:val="20"/>
          <w:szCs w:val="20"/>
        </w:rPr>
        <w:t>Josuah</w:t>
      </w:r>
      <w:proofErr w:type="spellEnd"/>
      <w:r w:rsidRPr="003C6B5F">
        <w:rPr>
          <w:rFonts w:ascii="Arial" w:hAnsi="Arial" w:cs="Arial"/>
          <w:sz w:val="20"/>
          <w:szCs w:val="20"/>
        </w:rPr>
        <w:t xml:space="preserve"> Cohen), the right to enjoy minimal conditions of a good life (John </w:t>
      </w:r>
      <w:proofErr w:type="spellStart"/>
      <w:r w:rsidRPr="003C6B5F">
        <w:rPr>
          <w:rFonts w:ascii="Arial" w:hAnsi="Arial" w:cs="Arial"/>
          <w:sz w:val="20"/>
          <w:szCs w:val="20"/>
        </w:rPr>
        <w:t>Tasioulas</w:t>
      </w:r>
      <w:proofErr w:type="spellEnd"/>
      <w:r w:rsidRPr="003C6B5F">
        <w:rPr>
          <w:rFonts w:ascii="Arial" w:hAnsi="Arial" w:cs="Arial"/>
          <w:sz w:val="20"/>
          <w:szCs w:val="20"/>
        </w:rPr>
        <w:t>) and freedom from fear (Franz Neumann). An addition to the list is not really called for.</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In general, philosophers and jurists alike transcend the world of experience and normalcy. Their theoretical vocabulary and also their intention to ameliorate the way things are hold out hope for liberation and reconciliation in a world the (return to?) fairness of which hinges upon rights. These theoretical narratives and the human rights law they have helped to forge and profile on the domestic and international plane, are to be appreciated as “a search for absolutes in a world whose complexity has created the danger of unfettered relativism, . . . bureaucratic abuse,”55 and arbitrary power, as well as a search for limits to cost–benefit calculations, administrative or managerial discretion, and the cyclical fluctuations of political preferences.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Rather than (or before) </w:t>
      </w:r>
      <w:proofErr w:type="spellStart"/>
      <w:r w:rsidRPr="003C6B5F">
        <w:rPr>
          <w:rFonts w:ascii="Arial" w:hAnsi="Arial" w:cs="Arial"/>
          <w:sz w:val="20"/>
          <w:szCs w:val="20"/>
        </w:rPr>
        <w:t>emplotting</w:t>
      </w:r>
      <w:proofErr w:type="spellEnd"/>
      <w:r w:rsidRPr="003C6B5F">
        <w:rPr>
          <w:rFonts w:ascii="Arial" w:hAnsi="Arial" w:cs="Arial"/>
          <w:sz w:val="20"/>
          <w:szCs w:val="20"/>
        </w:rPr>
        <w:t xml:space="preserve"> reality as romance, I argue in the next section, that political–legal narratives of justification as introduced and elaborated by individuals, groups, elites, or social movements have a more immediate practical agenda: They are designed to legitimize either the political-social status quo or the demands that the status quo change in situations of conflict. They function as a timely mythology of legitimate entitlement.</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lastRenderedPageBreak/>
        <w:t>3. Human rights narratives as mythology and ideology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Narratives of human rights law, as I want to show, follow the grammar, and share some structural features, of what appears to be a modern mythology. Like myths</w:t>
      </w:r>
      <w:proofErr w:type="gramStart"/>
      <w:r w:rsidRPr="003C6B5F">
        <w:rPr>
          <w:rFonts w:ascii="Arial" w:hAnsi="Arial" w:cs="Arial"/>
          <w:sz w:val="20"/>
          <w:szCs w:val="20"/>
        </w:rPr>
        <w:t>,56</w:t>
      </w:r>
      <w:proofErr w:type="gramEnd"/>
      <w:r w:rsidRPr="003C6B5F">
        <w:rPr>
          <w:rFonts w:ascii="Arial" w:hAnsi="Arial" w:cs="Arial"/>
          <w:sz w:val="20"/>
          <w:szCs w:val="20"/>
        </w:rPr>
        <w:t xml:space="preserve"> as the term is used here, human rights mythology establishes a connection between human existence and human suffering. It spans tales of justification that construct, first, a comprehensive narrative connection of disparate (past) events; second, advance claims concerning the validity of the narrative of legitimate entitlement, occasionally with religious or otherwise transcendent underpinning; and third, have a political and educational agenda of how things legitimately should be, often but not necessarily couched in a vision of progress and redemption.57 By removing human rights from their all-too earthly moorings, these three aspects may legitimize the defense of the status quo or call for its reform or amelioration. Aside from the fascination with the juridical, I believe the affinity for myth accounts for the peculiar purchase of, and redemptive power ascribed to, human rights narratives.58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3.1. Structural connection</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Regarding their internal structural connection, narratives of justification, like any other good story, have a beginning, albeit mysterious and dark, and an end, however temporary and elusive. And they construct a plausible transition from beginning to closure that creates a developmental connection between singular, contingent </w:t>
      </w:r>
      <w:proofErr w:type="gramStart"/>
      <w:r w:rsidRPr="003C6B5F">
        <w:rPr>
          <w:rFonts w:ascii="Arial" w:hAnsi="Arial" w:cs="Arial"/>
          <w:sz w:val="20"/>
          <w:szCs w:val="20"/>
        </w:rPr>
        <w:t>events,</w:t>
      </w:r>
      <w:proofErr w:type="gramEnd"/>
      <w:r w:rsidRPr="003C6B5F">
        <w:rPr>
          <w:rFonts w:ascii="Arial" w:hAnsi="Arial" w:cs="Arial"/>
          <w:sz w:val="20"/>
          <w:szCs w:val="20"/>
        </w:rPr>
        <w:t xml:space="preserve"> or a systematic or logical link between various, disparate facts or concepts. As against merely factual accounts, such narratives attempt to capture and direct the listener’s or reader’s attention through complex clusters of facts by couching what is narrated in a not too thin description, however brief it may be, and a convincing interpretation whose persuasive power hinges upon their appeal to emotions (empathy). More often than not, these narratives contain gaps and dark passages (they may try to hide), represent the conflicting voices of autonomy and authority, and oscillate between the apology of the way things are and their utopian other.59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Tales from constitutional mythology most effectively start with a momentous decision on the part of the rulers or a dramatic act of liberation or protest on the part of the ruled as a founding moment or the triggering of the process of foundation of a polity. For example, the narrative structure of stories about the French Revolution spans across a series of events. They arguably begin with the Convocation of the General Estates, are then dramatized by the presentation of the cahiers de </w:t>
      </w:r>
      <w:proofErr w:type="spellStart"/>
      <w:r w:rsidRPr="003C6B5F">
        <w:rPr>
          <w:rFonts w:ascii="Arial" w:hAnsi="Arial" w:cs="Arial"/>
          <w:sz w:val="20"/>
          <w:szCs w:val="20"/>
        </w:rPr>
        <w:t>doléances</w:t>
      </w:r>
      <w:proofErr w:type="spellEnd"/>
      <w:r w:rsidRPr="003C6B5F">
        <w:rPr>
          <w:rFonts w:ascii="Arial" w:hAnsi="Arial" w:cs="Arial"/>
          <w:sz w:val="20"/>
          <w:szCs w:val="20"/>
        </w:rPr>
        <w:t>, the Women’s March on Versailles, and the Storming of the Bastille. In retrospect, justificatory narratives connect these moments and reconstruct a plausible flow of events to the moment of closure. Depending on the perspective or agenda, the closure may be moved to the end of the revolutionary movement: its transformation into a rights revolution 60 or its authoritative representation in the most concise and abstract form as pure script by three consecutive, solemnly sealed documents. These documents re-constituted the French polity, if only briefly, as constitutional monarchy (1791), revolutionary regime (1793), and the Directorate (1795). Thus told, the story incidentally legitimizes a considerable amount of acts of violence, or even terror, and, in the end, the restorative move to stability.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While the French Revolution, more than the democratic revolution in the US, was to become paradigmatic for later mythical narratives of liberation, it allowed for a variety of internal structural connections, beginning with the revolution and first successful slave revolt in Saint-Domingue (Haiti) from 1791 to 1804,61 followed by, ex </w:t>
      </w:r>
      <w:proofErr w:type="spellStart"/>
      <w:r w:rsidRPr="003C6B5F">
        <w:rPr>
          <w:rFonts w:ascii="Arial" w:hAnsi="Arial" w:cs="Arial"/>
          <w:sz w:val="20"/>
          <w:szCs w:val="20"/>
        </w:rPr>
        <w:t>negativo</w:t>
      </w:r>
      <w:proofErr w:type="spellEnd"/>
      <w:r w:rsidRPr="003C6B5F">
        <w:rPr>
          <w:rFonts w:ascii="Arial" w:hAnsi="Arial" w:cs="Arial"/>
          <w:sz w:val="20"/>
          <w:szCs w:val="20"/>
        </w:rPr>
        <w:t>, the political restoration in Nineteenth Century Europe.</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Decolonization and liberation movements in the former colonies and in Eastern Europe produced waves of constitution-making, not necessarily following the path of rights constitutionalism. Yet, some of the more recent constitutional documents have adopted a narrative style by undertaking in their preambles to connect the different historical moments and draw a line from the mythical founding of the polity to the present.62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3.2. Claim to validity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Like myths, legal narratives of justification have moments of idealism and fiction, and like myths, they come with a claim to validity concerning some legitimate entitlement, in particular of the authors and the </w:t>
      </w:r>
      <w:r w:rsidRPr="003C6B5F">
        <w:rPr>
          <w:rFonts w:ascii="Arial" w:hAnsi="Arial" w:cs="Arial"/>
          <w:sz w:val="20"/>
          <w:szCs w:val="20"/>
        </w:rPr>
        <w:lastRenderedPageBreak/>
        <w:t>message. Manifesto constitutions</w:t>
      </w:r>
      <w:proofErr w:type="gramStart"/>
      <w:r w:rsidRPr="003C6B5F">
        <w:rPr>
          <w:rFonts w:ascii="Arial" w:hAnsi="Arial" w:cs="Arial"/>
          <w:sz w:val="20"/>
          <w:szCs w:val="20"/>
        </w:rPr>
        <w:t>,63</w:t>
      </w:r>
      <w:proofErr w:type="gramEnd"/>
      <w:r w:rsidRPr="003C6B5F">
        <w:rPr>
          <w:rFonts w:ascii="Arial" w:hAnsi="Arial" w:cs="Arial"/>
          <w:sz w:val="20"/>
          <w:szCs w:val="20"/>
        </w:rPr>
        <w:t xml:space="preserve"> for example, routinely base their claim to validity on common knowledge, shared experience, or what is considered to be evident: “That all men are by nature equally free and independent, and have certain inherent rights” (1776 Virginia),64 that “public calamities and . . . the corruption of governments” are caused by “the ignorance, neglect, or contempt of rights of man” (1789 French </w:t>
      </w:r>
      <w:proofErr w:type="spellStart"/>
      <w:r w:rsidRPr="003C6B5F">
        <w:rPr>
          <w:rFonts w:ascii="Arial" w:hAnsi="Arial" w:cs="Arial"/>
          <w:sz w:val="20"/>
          <w:szCs w:val="20"/>
        </w:rPr>
        <w:t>Déclaration</w:t>
      </w:r>
      <w:proofErr w:type="spellEnd"/>
      <w:r w:rsidRPr="003C6B5F">
        <w:rPr>
          <w:rFonts w:ascii="Arial" w:hAnsi="Arial" w:cs="Arial"/>
          <w:sz w:val="20"/>
          <w:szCs w:val="20"/>
        </w:rPr>
        <w:t>).</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Having formally established their legitimate authority as “Representatives of the United States of America,” the framers of the US Declaration of Independence, underscored their legitimate entitlement to “declare the causes which impel them to the separation” with (a) an elaborated story, listing the abuses by the tyrannical British monarch, (b) necessity (“when it becomes necessary for one people to dissolve the political bands”), (c) “the laws of nature and of nature’s God,”65 and, most importantly, (d) the truth as the basis of the legitimacy of their narrative: “We hold these truths to be self-evident, that all men are created equal . . . .” The Declaration not only legitimized secession but also, by its remarkable silence over the existence of Native Americans, the colonists’ right to colonize America. So, at one of their prominent beginnings and one of their first colonial encounters, human rights had a colonial bias legitimizing predators’ raids.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A different narrative technique is brought into play when validity claims are derived from presumably superior knowledge provided, for example, by an authoritative theory (of history, society, revolution, etc.) transcending the horizontal plane of society and justifying violence in the name of science, politics, culture, or religion.66 A case in point are the socialist cadres imagining in (and convincing themselves of) their privileged insight into the “laws of socialism” as laid down in Marx’s historical materialism and Lenin’s theory of revolution and, in China, also Mao Zedong’s Thought and the “Three Represents.”67 Their narratives justify the exclusion, suppression, at times even the physical extinction, of large parts of the population for the sake of what is claimed to be a valid purpose, such as progress, social peace, or proletarian internationalism.68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Structurally speaking, in a similar vein as socialism’s “red engineers”69 and cadres, capitalism’s white experts and political technicians</w:t>
      </w:r>
      <w:proofErr w:type="gramStart"/>
      <w:r w:rsidRPr="003C6B5F">
        <w:rPr>
          <w:rFonts w:ascii="Arial" w:hAnsi="Arial" w:cs="Arial"/>
          <w:sz w:val="20"/>
          <w:szCs w:val="20"/>
        </w:rPr>
        <w:t>,70</w:t>
      </w:r>
      <w:proofErr w:type="gramEnd"/>
      <w:r w:rsidRPr="003C6B5F">
        <w:rPr>
          <w:rFonts w:ascii="Arial" w:hAnsi="Arial" w:cs="Arial"/>
          <w:sz w:val="20"/>
          <w:szCs w:val="20"/>
        </w:rPr>
        <w:t xml:space="preserve"> because they modify or sidestep the rule of the people through their agency and expertise, have to adjust technocracy or expert rule to the standards of democracy. The authority and superior legitimacy of knowledge, in the context of expert rule, reappears under the guise of the metaphysics of “inherent necessities and practical constraints,” which in non-socialist democracies become the functional equivalent to the “laws of socialism.”</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As distinct from ruling elites, protest movements may take their claims to the streets and resort to narratives that invoke the traditional right to resistance, but will more frequently underscore the validity of their programs and projects with references to a shared experience of discrimination or oppression that violates written or unwritten norms of humanity—in particular, human rights laid down in constitutions and international pacts. Their legitimate entitlement, though related to their experience and interests, may also be based on authoritative texts, like UN conventions on rights or national constitutions.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3.3. Political-educational agenda</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Legal narratives of justification share with certain myths a political-educational agenda. By interpreting and suggesting how to cope with a problematic situation, these stories—a rather heterogeneous body of writings consisting of documents, historical and theoretical treatises, pamphlets, constitutional texts and commentaries, and international pacts—produce knowledge through narration in order to instruct their readers, thus introducing a political and pedagogical register.71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In correspondence with the educational register, the authors of the US Declaration of Independence addressed “the candid world.” Then, in a brilliant moment of justificatory political pedagogy, they reiterated “the history of repeated injuries and usurpations” on the part of the King of Great Britain (conspicuously and with an eye to the future bypassing the not all that innocent Westminster Parliament) and “the barbarous acts” committed by the monarch, described in a legal turn as “disregard and contempt for human rights.” So instructed, the colonialists were expected to mobilize for and join the war of </w:t>
      </w:r>
      <w:r w:rsidRPr="003C6B5F">
        <w:rPr>
          <w:rFonts w:ascii="Arial" w:hAnsi="Arial" w:cs="Arial"/>
          <w:sz w:val="20"/>
          <w:szCs w:val="20"/>
        </w:rPr>
        <w:lastRenderedPageBreak/>
        <w:t>secession. And the “candid world” abroad was called on to empathize with and possibly support this venture.</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 educational agenda of the French revolutionaries implied awareness of rights and duties and the “maintenance of the constitution” so as to enable and motivate the people to compare the acts of the legislative and executive power “at any moment with the objects and purposes of all political institutions.” This combination of rights optimism and political pedagogy provided a pattern numerous drafters of constitutions and rights declarations later reiterated. The Universal Declaration of Human Rights followed the pedagogical register insofar as it propagates “teaching and education to promote respect for these rights and freedoms.” It also offered a matrix for legal narratives by reimagining the cold brutality and mass murders of Fascism and Stalinism as “disregard and contempt for human rights [that] have resulted in barbarous acts” and stating its normative project “that human rights should be protected by the rule of law.” In the end, the Universal Declaration proclaims a vague benchmark for progress: “a common standard of achievement for all peoples and nations.” The underlying and somewhat surprising political purpose is relegated to a subordinate clause, namely to prevent “recourse . . . to rebellion against tyranny and oppression.”</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In the same vein, albeit in a different style and written with different motives, the authors of past and present socialist constitutions have adopted the vocabulary and followed the grammar of narratives of justification, idealizing in lengthy preambles, first and foremost, history and the leading role of the party. In this vein, the preamble of the Chinese Constitution instructs “the people of all nationalities in China” about the “glorious revolutionary tradition” and the “successes . . . in economic development.” Then it goes on to interpret the way things are in China today as achievements credited to the theoretical authorities and the Communist Party. Finally, the text of the preamble shifts from imagining the past to projecting the future by formulating the “task of the nation . . . to concentrate its efforts on socialist modernization along the road of Chinese-Style socialism.” Interestingly enough, no mention is made of the “Great Leap Forward” (1958–1963) or of the “Cultural Revolution” (1966–1976).72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In short, after human rights narratives moved from naturalism (natural rights and evidence) to positivism (constitutional/legal rights and consent), they have come to share properties of a modern mythology, replacing the ancient gods and heroes by more up-to-date, secular authorities. Depending on the historical-political context either the vanguard Party, an authoritative Theory, Expertise, the Constitution or Human Rights are expected to control the latter-day furies, turn chaos into order, and guarantee redemption from the world’s misery.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3.4. Narratives of justification as ideology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If ideology merely connotes the way its addressees (are made to) see reality, little else other than its affinity to theory distinguishes it from myth. Yet, ideology comes with a long conceptual history and a package of meanings. For all intents and purposes I focus here on ideology as a theory of systems justification and a set of ideas and beliefs—true or false—characteristic for an individual or group as it captures the “belief” in a just world, which “must have at least enough cognitive content to help organize the practical lives of human beings.” 73 Narratives of justification qualify as ideologies insofar as they contain “prepackaged units of interpretation,”74 comprising aims, ideas, and claims which, in political contexts, are offered either by a dominant class or elite or by the non-dominant side as a project designed to persuade or force their addressees to look at things and understand reality in a certain way.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As far as rights-stories contain or imply a developmental scheme or program of action, they correspond to the style of a positive (political) ideology, reflected, in particular but not only, by socialist and some postcolonial constitutions which outline and project how society should work and the goals to be achieved in order to mobilize the addressees.75 However, as their descriptions of society and justification of a system or regime diverge from the experienced reality and are “accomplished with false consciousness” (Friedrich Engels),76 they become negative ideology—ignoble lies to deceive those who “excel at what they wish to believe.”77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lastRenderedPageBreak/>
        <w:t xml:space="preserve">Since human rights law has replaced the exhausted natural rights tradition, it was linked to some political agenda or another—Western anti-communism and Eastern anti-imperialism first, then foreign aid/development and the promotion of democracy, and most recently humanitarian interventions. Accordingly, “the holy trinity” of liberalism, democracy, and human rights78 has been said to serve as the “West’s ideology, the credo of a new world order.” 79 What is more, human rights became a “bargaining chip in trade, aid, and diplomatic relations” and a platform for world-wide “involvement in domestic affairs,” and was “hijacked by governments for a moral-sounding policy.”80 Putting human rights into commission for foreign and other </w:t>
      </w:r>
      <w:proofErr w:type="gramStart"/>
      <w:r w:rsidRPr="003C6B5F">
        <w:rPr>
          <w:rFonts w:ascii="Arial" w:hAnsi="Arial" w:cs="Arial"/>
          <w:sz w:val="20"/>
          <w:szCs w:val="20"/>
        </w:rPr>
        <w:t>policy lets their fragrance of transcendence—transcending first and foremost national interests, that is—evaporate</w:t>
      </w:r>
      <w:proofErr w:type="gramEnd"/>
      <w:r w:rsidRPr="003C6B5F">
        <w:rPr>
          <w:rFonts w:ascii="Arial" w:hAnsi="Arial" w:cs="Arial"/>
          <w:sz w:val="20"/>
          <w:szCs w:val="20"/>
        </w:rPr>
        <w:t>.</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In combining dramatic, mythical, and ideological rhetorical elements, narratives of justification intervene in the obstinate world of facts as apologetic or utopian imaginations of the real.81 They oscillate “between a language of imagination and one of decision”82 to form thereby a more or less determinate sense of justice concerning the way things are and should be. In the final section, I now turn to what one may consider the narrative proper of human rights—their juridical construction of the factual world.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 Narratives of justification as loss and normalization</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“Whatever it is that the law is after, it is not the whole story.”83 Human rights law, one would have to add to Clifford Geertz’s statement, cannot possibly be after the whole story. Its narratives of justification contain mechanisms that, as was shown above, represent, reconstruct, and change reality: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 discourse of universal human rights thus presents a fantasy scenario in which society and the individual are perceived as whole, as non-split. In this fantasy, society is understood as something that can be rationally organized, as a community that can become non-conflictual if only it respects “human rights.” 84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As human rights intervene in the way things are, and translate conflicts into the world of rights-entitlements and legal duties, they not only reflect “practical attitudes toward the management of controversy”85 but also select the legally relevant aspects and information and transform reality.86 Therefore the mechanisms at work have to be discussed: how legal methods and argumentative techniques are deployed to filter, reduce, and recycle what initially appeared to be “the whole story.”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4.1. Displacement and deferral</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 more individuals, groups, and even government officials realized that resorting to rights claims—including the limitations of and exceptions to rights—might be the best way to buttress their interests and dress up their stakes in a conflict, the more human rights became a global currency or lingua franca. While modernist and romantic narratives stress the emancipatory, empowering and liberating effects this language may have, one may want to add that the bright side of human rights comes at a price.</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To begin with, human rights law, not surprisingly, within modern regimes of law-rule has no other way of handling controversies than to frame—and normalize—them as rights conflicts. Consequently, human rights narratives take for granted or to be unproblematic the requirement that individuals have to translate their grievance into law and to recode their suffering as illegal or violating a right; that they have to act the role and obey the script of a claimant, to say “that’s my right”—rather than: “that’s my interest, need, or suffering”; that they must direct any rights claim to the legal apparatus and staff, and follow the rules of the established rituals, hoping their complaint will be then and there properly dealt with. Not only systems theory87 takes all this for granted.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A recent German constitutional case88 nicely illustrates how the legal transformation and normalization of conflicts implies and reduces semantic and strategic89 choices. The controversy started when a small group of activists protested against the deportation of asylum seekers in the terminal hall of the Frankfurt Airport, where the deportation actually happened. The airport security service immediately ordered the protesters to leave the premises. Later, the executive board of the company operating the airport </w:t>
      </w:r>
      <w:r w:rsidRPr="003C6B5F">
        <w:rPr>
          <w:rFonts w:ascii="Arial" w:hAnsi="Arial" w:cs="Arial"/>
          <w:sz w:val="20"/>
          <w:szCs w:val="20"/>
        </w:rPr>
        <w:lastRenderedPageBreak/>
        <w:t xml:space="preserve">prohibited the protesters from trespassing upon private property. Once the conflict had turned into a “case,” it focused on and affirmed the right of the airport company to keep out demonstrators as trespassers. After all legal remedies had been exhausted without </w:t>
      </w:r>
      <w:proofErr w:type="gramStart"/>
      <w:r w:rsidRPr="003C6B5F">
        <w:rPr>
          <w:rFonts w:ascii="Arial" w:hAnsi="Arial" w:cs="Arial"/>
          <w:sz w:val="20"/>
          <w:szCs w:val="20"/>
        </w:rPr>
        <w:t>success,</w:t>
      </w:r>
      <w:proofErr w:type="gramEnd"/>
      <w:r w:rsidRPr="003C6B5F">
        <w:rPr>
          <w:rFonts w:ascii="Arial" w:hAnsi="Arial" w:cs="Arial"/>
          <w:sz w:val="20"/>
          <w:szCs w:val="20"/>
        </w:rPr>
        <w:t xml:space="preserve"> one of the protesters filed a constitutional complaint with the Constitutional Court claiming her right to demonstrate had been violated. In its decision affirming, within limits, the right to free speech and assembly in a terminal hall, the Federal Constitutional Court did not discuss the human tragedy of asylum seekers; it only but significantly mentioned, in an obiter dictum, that “a cast of mind undisturbed by the world’s misery” is no legitimate concern to limit constitutional rights.90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Translating a problem, concern, or issue into the legal vocabulary and submitting to legal procedures implies a double movement of displacement and deferral. Conflicts are displaced from the everyday locations where they arise—home, street, school, </w:t>
      </w:r>
      <w:proofErr w:type="gramStart"/>
      <w:r w:rsidRPr="003C6B5F">
        <w:rPr>
          <w:rFonts w:ascii="Arial" w:hAnsi="Arial" w:cs="Arial"/>
          <w:sz w:val="20"/>
          <w:szCs w:val="20"/>
        </w:rPr>
        <w:t>workplace</w:t>
      </w:r>
      <w:proofErr w:type="gramEnd"/>
      <w:r w:rsidRPr="003C6B5F">
        <w:rPr>
          <w:rFonts w:ascii="Arial" w:hAnsi="Arial" w:cs="Arial"/>
          <w:sz w:val="20"/>
          <w:szCs w:val="20"/>
        </w:rPr>
        <w:t xml:space="preserve"> or, for that matter, terminal hall—and transferred to official institutions and professional bodies specialized in dealing with rights conflicts. And there, in law firms, court rooms, and hearings of human rights commissions, they are invariably deferred according to institutional capacity, priority schedules, workload, etc., and handled by the legal staff bringing to bear their professional expertise.</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Clearly, conflicts may be cooled down and, thus, civilized. Civilizing conflicts, however, means not only reducing the conflict to the format of a case, recasting whatever the issue may be as a violation of rights or duties, and convert the need, desires and interests, emotions and expectations into legal entitlements, but also putting off satisfaction. For rights beget rights: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But rights always agitate for more rights: they create ever new areas of claim and entitlement that again prove insufficient. We keep demanding and inventing new rights in an endless attempt to fill the lack, but desire is endlessly deferred.91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While discourse turns everything into a legal claim, the political-social dimension of a conflict tends to get lost or obscured in translation, or cannot be adequately introduced in the legal form and process of negotiating individual entitlements.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A conflict, thus dislocated and deferred, can hardly be expected to be solved quickly and always to the claimant’s satisfaction. Therefore, the fairly long wait for justice and the experience of injustice need to be justified or camouflaged. Narratives of justification book these limitations and failures of the administration of justice as the inevitable price to be paid for a </w:t>
      </w:r>
      <w:proofErr w:type="gramStart"/>
      <w:r w:rsidRPr="003C6B5F">
        <w:rPr>
          <w:rFonts w:ascii="Arial" w:hAnsi="Arial" w:cs="Arial"/>
          <w:sz w:val="20"/>
          <w:szCs w:val="20"/>
        </w:rPr>
        <w:t>civil(</w:t>
      </w:r>
      <w:proofErr w:type="spellStart"/>
      <w:proofErr w:type="gramEnd"/>
      <w:r w:rsidRPr="003C6B5F">
        <w:rPr>
          <w:rFonts w:ascii="Arial" w:hAnsi="Arial" w:cs="Arial"/>
          <w:sz w:val="20"/>
          <w:szCs w:val="20"/>
        </w:rPr>
        <w:t>ized</w:t>
      </w:r>
      <w:proofErr w:type="spellEnd"/>
      <w:r w:rsidRPr="003C6B5F">
        <w:rPr>
          <w:rFonts w:ascii="Arial" w:hAnsi="Arial" w:cs="Arial"/>
          <w:sz w:val="20"/>
          <w:szCs w:val="20"/>
        </w:rPr>
        <w:t>) conflict management and argue that, on balance, the benefits of the professional and institutional application of human rights under the terms and procedures of law regularly, at least in most cases, outweigh the costs. So, the justificatory tale becomes one of necessity and economy.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4.2. Selectivity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Part of the brightness of human rights law, complementing the story of its civilizing mission, stems from the promise that the rights vocabulary covers all relevant factors, i.e., normative aspects, of a conflict more adequately than any other vocabulary. Comprehensiveness is suggested by philosophical and jurisprudential stories perfecting the method of application and elaborating a “system” of rights on the basis of actual rights catalogues or stressing their universal nature which usually comes with the claim that human rights law covers all situations and relevant problems. The universal reach and claim come at a cost, though. The particularity of the individual complaint is never completely exhausted but taken as an instance—technically: a concrete controversy—to be fitted and dealt with in the all-encompassing universal scheme. And this way, many aspects an individual may find crucial get lost in translation.</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Tales of law’s and, in particular, the human rights system’s comprehensive grasp of the complexity of life and, in the process of application, of “all the relevant factors” of a case are vulnerable to two charges: They miss the specificity of each conflict—the singularity of the individual with her identity, needs and life situation—and the structural and strategic92 selectivity of human rights law—its legislation as well as its application. Legislators have demonstrated a preference for ad hoc decisions, limiting rights (quite often </w:t>
      </w:r>
      <w:r w:rsidRPr="003C6B5F">
        <w:rPr>
          <w:rFonts w:ascii="Arial" w:hAnsi="Arial" w:cs="Arial"/>
          <w:sz w:val="20"/>
          <w:szCs w:val="20"/>
        </w:rPr>
        <w:lastRenderedPageBreak/>
        <w:t>for the sake of national security) rather than extending them—anything but comprehensive grasp of the world of rights.93 Likewise, courts adjudicate under considerable constraints in terms of time and institutional resources, fine-tuned by a network of mechanisms of selectivity that undermine the chances of human rights claims to be heard thoroughly, if at all, and judged in all relevant respects. Mechanisms of selectivity are, to name only a few, the distinction between questions of fact and questions of law, admissibility thresholds, deals and plea-bargaining in criminal trials, the politics of granting or denying certiorari, and the subsidiary character of constitutional review and its specific criteria of “relevance.”94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These procedural and substantive restrictions suggest that human rights law not only promises more than it can possibly deliver, but by dint of its selectivity and deferral also has disempowering side-effects, usually overlooked, adjusted, or “explained away.” Again, there are jurisprudential and sociological narratives on offer legitimizing the negative side-effects as inherent necessities, like the reduction of complexity.95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Normative theories with a romantic twist will prefer to uphold the story of human rights’ comprehensive and universal reach by either downplaying selectivity as a singular bad practice not compromising the universal ideal as being, theoretically at least, in the interest of everyone. Other authors base their defense of comprehensiveness on the claim that restrictions in one case are complemented in another one, which then represents the deficient case or has a radiating effect.</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4.3. Reducing the imaginative space of emancipation</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Once people realize that to dress their interest in, or to demand, whatever they need, such as a “right” to free speech, a safe work place, or equal pay is to give their agenda the strongest possible setting, they will translate their experience of what they deem unjust, arbitrary, or degrading into legal claims of right. They will denounce the status quo and seek legal redress of their grievances. Consequently, the focus on the grammar and vocabulary of rights narrows the imaginative space of emancipation to the world of law and rights and marginalizes or negates other vocabularies and strategies, say the vocabulary of duties and responsibilities, of basic needs or interests, or, in particular, strategies relying on collective commitment96 and tends to de-politicize the conflict at hand.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To illustrate this drawback of human rights law, David Kennedy refers to the right to development. He focuses on the consequences once concerns about global poverty are mainly raised in terms of a human right:</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[E]</w:t>
      </w:r>
      <w:proofErr w:type="spellStart"/>
      <w:r w:rsidRPr="003C6B5F">
        <w:rPr>
          <w:rFonts w:ascii="Arial" w:hAnsi="Arial" w:cs="Arial"/>
          <w:sz w:val="20"/>
          <w:szCs w:val="20"/>
        </w:rPr>
        <w:t>nergy</w:t>
      </w:r>
      <w:proofErr w:type="spellEnd"/>
      <w:r w:rsidRPr="003C6B5F">
        <w:rPr>
          <w:rFonts w:ascii="Arial" w:hAnsi="Arial" w:cs="Arial"/>
          <w:sz w:val="20"/>
          <w:szCs w:val="20"/>
        </w:rPr>
        <w:t xml:space="preserve"> and resources are drawn to developing a literature and an institutional practice at the international level of a particular sort. Efforts that cannot be articulated in these terms seem less legitimate, less practical, less worth the effort.97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Narratives justifying a “right” to development systematically overlook or play down that activists concerned about poverty are increasingly drawn into (a) endless debates about a series of legal quandaries: whose right, against whom, remedying poverty how, to be implemented in what way and by what institutions, and so forth; and (b) into institutional projects of codification, monitoring, and reporting that are quite familiar from other human rights efforts. Meanwhile, human rights narratives neither cover nor criticize other endeavors because they insulate the economy and politics from law. In the end “[</w:t>
      </w:r>
      <w:proofErr w:type="spellStart"/>
      <w:r w:rsidRPr="003C6B5F">
        <w:rPr>
          <w:rFonts w:ascii="Arial" w:hAnsi="Arial" w:cs="Arial"/>
          <w:sz w:val="20"/>
          <w:szCs w:val="20"/>
        </w:rPr>
        <w:t>i</w:t>
      </w:r>
      <w:proofErr w:type="spellEnd"/>
      <w:r w:rsidRPr="003C6B5F">
        <w:rPr>
          <w:rFonts w:ascii="Arial" w:hAnsi="Arial" w:cs="Arial"/>
          <w:sz w:val="20"/>
          <w:szCs w:val="20"/>
        </w:rPr>
        <w:t>]</w:t>
      </w:r>
      <w:proofErr w:type="spellStart"/>
      <w:r w:rsidRPr="003C6B5F">
        <w:rPr>
          <w:rFonts w:ascii="Arial" w:hAnsi="Arial" w:cs="Arial"/>
          <w:sz w:val="20"/>
          <w:szCs w:val="20"/>
        </w:rPr>
        <w:t>nternational</w:t>
      </w:r>
      <w:proofErr w:type="spellEnd"/>
      <w:r w:rsidRPr="003C6B5F">
        <w:rPr>
          <w:rFonts w:ascii="Arial" w:hAnsi="Arial" w:cs="Arial"/>
          <w:sz w:val="20"/>
          <w:szCs w:val="20"/>
        </w:rPr>
        <w:t xml:space="preserve"> economic policy . . . is taken over by neo-liberal players who do not see development as a special problem” affecting or causing global poverty. One may infer that human rights law requires a narrative of justification in so far as it narrows the imaginative space of emancipation.</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4.4. Alienation</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Human rights have a positive—indeed, a humane—ring. To argue that they alienate appears to be counterintuitive. And yet, alienation</w:t>
      </w:r>
      <w:proofErr w:type="gramStart"/>
      <w:r w:rsidRPr="003C6B5F">
        <w:rPr>
          <w:rFonts w:ascii="Arial" w:hAnsi="Arial" w:cs="Arial"/>
          <w:sz w:val="20"/>
          <w:szCs w:val="20"/>
        </w:rPr>
        <w:t>,98</w:t>
      </w:r>
      <w:proofErr w:type="gramEnd"/>
      <w:r w:rsidRPr="003C6B5F">
        <w:rPr>
          <w:rFonts w:ascii="Arial" w:hAnsi="Arial" w:cs="Arial"/>
          <w:sz w:val="20"/>
          <w:szCs w:val="20"/>
        </w:rPr>
        <w:t xml:space="preserve"> at least the aspects of estrangement and separation, appear to apply to the rights discourse and the rights practice. First, the notion of the rights-holder introduces—on the dark side of empowerment—a “thin” personality: estranged from her desires and emotions, isolated </w:t>
      </w:r>
      <w:r w:rsidRPr="003C6B5F">
        <w:rPr>
          <w:rFonts w:ascii="Arial" w:hAnsi="Arial" w:cs="Arial"/>
          <w:sz w:val="20"/>
          <w:szCs w:val="20"/>
        </w:rPr>
        <w:lastRenderedPageBreak/>
        <w:t>and separated from her community, and reduced to a point of reference where abstract rights and entitlements intersect, and concrete traits and needs fade into the background.99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Poverty offers a good example of the underlying problem. Lack of assets in the midst of a society of riches based on property rights makes the poor feel “excluded, shunned, scorned, by everyone.”100 The recognition offered by the abstract right to property, by the potential to hold property, is clearly inadequate.101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The alienating effect can be seen more clearly if one takes into consideration the aspects of deferral and displacement of human rights law: Rights-holders and claimants watch, mystified and intimidated, rather like fairly ignorant bystanders, the automatic functioning of a well-oiled, complex legal machinery:102 how the conflict is being removed from the everyday of experience, dissected by the legal professionals whose language becomes less and less understandable, and processed in court, on ever higher and less transparent institutional levels, with ever lesser concern about the “facts” of the case.103 Unless they’re able to command a modicum of legal training or a pathologically robust psyche or both, claimants will hardly be able to avoid feeling dispossessed of what had once been their conflict—a feeling that may very well be described as alienation. Bereft of the possibility of identifying themselves with the language, form, and mechanisms of human rights law’s technical dispute resolution, they experience </w:t>
      </w:r>
      <w:proofErr w:type="spellStart"/>
      <w:r w:rsidRPr="003C6B5F">
        <w:rPr>
          <w:rFonts w:ascii="Arial" w:hAnsi="Arial" w:cs="Arial"/>
          <w:sz w:val="20"/>
          <w:szCs w:val="20"/>
        </w:rPr>
        <w:t>juridification</w:t>
      </w:r>
      <w:proofErr w:type="spellEnd"/>
      <w:r w:rsidRPr="003C6B5F">
        <w:rPr>
          <w:rFonts w:ascii="Arial" w:hAnsi="Arial" w:cs="Arial"/>
          <w:sz w:val="20"/>
          <w:szCs w:val="20"/>
        </w:rPr>
        <w:t xml:space="preserve"> as a separation from their original plea and plight; they see themselves placed in a relation of </w:t>
      </w:r>
      <w:proofErr w:type="spellStart"/>
      <w:r w:rsidRPr="003C6B5F">
        <w:rPr>
          <w:rFonts w:ascii="Arial" w:hAnsi="Arial" w:cs="Arial"/>
          <w:sz w:val="20"/>
          <w:szCs w:val="20"/>
        </w:rPr>
        <w:t>unrelatedness</w:t>
      </w:r>
      <w:proofErr w:type="spellEnd"/>
      <w:r w:rsidRPr="003C6B5F">
        <w:rPr>
          <w:rFonts w:ascii="Arial" w:hAnsi="Arial" w:cs="Arial"/>
          <w:sz w:val="20"/>
          <w:szCs w:val="20"/>
        </w:rPr>
        <w:t xml:space="preserve"> and restricted in their “positive freedom.”104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 alienating effects human rights law may have are illustrated, for example, by the way asylum-seekers were judicially processed in Germany (which is not to say they received a better treatment elsewhere). Evolving from the duty to hospitality</w:t>
      </w:r>
      <w:proofErr w:type="gramStart"/>
      <w:r w:rsidRPr="003C6B5F">
        <w:rPr>
          <w:rFonts w:ascii="Arial" w:hAnsi="Arial" w:cs="Arial"/>
          <w:sz w:val="20"/>
          <w:szCs w:val="20"/>
        </w:rPr>
        <w:t>,105</w:t>
      </w:r>
      <w:proofErr w:type="gramEnd"/>
      <w:r w:rsidRPr="003C6B5F">
        <w:rPr>
          <w:rFonts w:ascii="Arial" w:hAnsi="Arial" w:cs="Arial"/>
          <w:sz w:val="20"/>
          <w:szCs w:val="20"/>
        </w:rPr>
        <w:t xml:space="preserve"> granting asylum had traditionally been justified as a reciprocal concession states agreed upon so as to prevent citizens seeking refuge abroad from burdening their neighborly relations. This legal concept was consciously and for political reasons alienated from the asylum seeker’s plight. Against the background of totalitarian practices, asylum was in the twentieth century elaborated in philosophy as the ultimate “right to have rights” and the only genuine human right.106 It received its programmatic, somewhat enigmatic, juristic wording in article 14 of the Universal Declaration: “Everyone has the right to seek and [here one would have to add: if granted] to enjoy in other countries asylum from persecution.” One year later and for the first time in constitutional history, the German Basic Law, in its original version of 1949, resuscitated the “belief” in a just world and elevated asylum to a human right—a “trump” one might say—entitling those who are politically persecuted. In the course of its further career on the path of law, gold was, in a perverse sort of alchemy, turned into lead.107 The human right to asylum was sustained (actually it was not needed), as long as refugees came from the East: they were considered by law either as German nationals or as ethnic Germans. The fall of the asylum seekers’ human right began, and their legal recognition became more hesitant and selective, when socialists and communists persecuted by the Pinochet regime knocked on the door. Some courts then required a “no violence”-test, others restricted asylum, in a turn to the nineteenth century, to “democratic protesters” or “politically engaged citizens.”108 In addition, courts changed the burden of proof, shifting the right one more notch from the reality of refugees. Asylum seekers, including torture victims, now had to prove a “political motivation to persecute” on the part of their persecutors. The Federal Administrative Court argued: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A persecution for political reasons crucially depends on the motives underlying the infringements by the state . . . and . . . requires in each case clarification of the question which purpose a police measure or criminal prosecution serves. [Consequently, the right to asylum] offers protection neither against any excess of state power nor any disregard of human dignity [such as torture, but requires in addition that] political motives of the state abusing its power (be shown).109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Once the number of refugees increased dramatically to over 100,000 per year, and their appearance differed considerably in terms of color, customs, and religion from “We the people” (and we the judges), German courts and administrative agencies adapted their reading of the right to asylum to the debates on the global plane,110 separated their decisions even more from the facts presented by the asylum </w:t>
      </w:r>
      <w:r w:rsidRPr="003C6B5F">
        <w:rPr>
          <w:rFonts w:ascii="Arial" w:hAnsi="Arial" w:cs="Arial"/>
          <w:sz w:val="20"/>
          <w:szCs w:val="20"/>
        </w:rPr>
        <w:lastRenderedPageBreak/>
        <w:t>seekers, and privileged blatantly political, social and economic considerations (social costs, limits of integration, harmonization of asylum laws within the European Union). Thus, the human right to asylum was devalued from a “trump card” in the hands of refugees to a vocabulary that had to compete with others (security, fiscal policy, demography, European integration). In the end, refugees stood a scant chance to obtain asylum.111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4.5. Masking political power</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The intervention of human rights in conflicts obeys the rules of a grammar and applies an idealizing vocabulary which, in general, neutralizes the underlying socio-economic, cultural, and political conditions. On the one hand, the claim of human rights law to neutrality underscores its legitimacy. On the other hand, this very neutrality—based on legal formalization in abstract and universal terms, recognized in court as entitlements, and implemented, and their </w:t>
      </w:r>
      <w:proofErr w:type="gramStart"/>
      <w:r w:rsidRPr="003C6B5F">
        <w:rPr>
          <w:rFonts w:ascii="Arial" w:hAnsi="Arial" w:cs="Arial"/>
          <w:sz w:val="20"/>
          <w:szCs w:val="20"/>
        </w:rPr>
        <w:t>violations remedied depending on the inherent command—masks</w:t>
      </w:r>
      <w:proofErr w:type="gramEnd"/>
      <w:r w:rsidRPr="003C6B5F">
        <w:rPr>
          <w:rFonts w:ascii="Arial" w:hAnsi="Arial" w:cs="Arial"/>
          <w:sz w:val="20"/>
          <w:szCs w:val="20"/>
        </w:rPr>
        <w:t xml:space="preserve"> the political power at play in legislation and application.</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As a rule, narratives of human rights—with their dominant message that legal formalization warrants the neutrality of procedures and outcomes—appear to privilege legislation over application. This message implies that political concerns can only be introduced into the legislative process where they are deliberated with all due respect and then either filtered out or transposed to the level of a “right.” Such transformation establishes a human right in its general and abstract legal existence and purges it from its underlying political or other rationales.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 second part of the story focuses on the application of a right, from a normative point of view described as reasoned elaboration in a particular case as guided by legal method. According to this story judicial decisions are generally believed to merely translate, by way of syllogism or interpretation—</w:t>
      </w:r>
      <w:proofErr w:type="spellStart"/>
      <w:r w:rsidRPr="003C6B5F">
        <w:rPr>
          <w:rFonts w:ascii="Arial" w:hAnsi="Arial" w:cs="Arial"/>
          <w:sz w:val="20"/>
          <w:szCs w:val="20"/>
        </w:rPr>
        <w:t>lege</w:t>
      </w:r>
      <w:proofErr w:type="spellEnd"/>
      <w:r w:rsidRPr="003C6B5F">
        <w:rPr>
          <w:rFonts w:ascii="Arial" w:hAnsi="Arial" w:cs="Arial"/>
          <w:sz w:val="20"/>
          <w:szCs w:val="20"/>
        </w:rPr>
        <w:t xml:space="preserve"> </w:t>
      </w:r>
      <w:proofErr w:type="spellStart"/>
      <w:r w:rsidRPr="003C6B5F">
        <w:rPr>
          <w:rFonts w:ascii="Arial" w:hAnsi="Arial" w:cs="Arial"/>
          <w:sz w:val="20"/>
          <w:szCs w:val="20"/>
        </w:rPr>
        <w:t>artis</w:t>
      </w:r>
      <w:proofErr w:type="spellEnd"/>
      <w:r w:rsidRPr="003C6B5F">
        <w:rPr>
          <w:rFonts w:ascii="Arial" w:hAnsi="Arial" w:cs="Arial"/>
          <w:sz w:val="20"/>
          <w:szCs w:val="20"/>
        </w:rPr>
        <w:t xml:space="preserve">—a legislative (or contractual) rights program. This narrative has been challenged by numerous realist, sociological, critical, and political theories of law.112 </w:t>
      </w:r>
      <w:proofErr w:type="gramStart"/>
      <w:r w:rsidRPr="003C6B5F">
        <w:rPr>
          <w:rFonts w:ascii="Arial" w:hAnsi="Arial" w:cs="Arial"/>
          <w:sz w:val="20"/>
          <w:szCs w:val="20"/>
        </w:rPr>
        <w:t>To</w:t>
      </w:r>
      <w:proofErr w:type="gramEnd"/>
      <w:r w:rsidRPr="003C6B5F">
        <w:rPr>
          <w:rFonts w:ascii="Arial" w:hAnsi="Arial" w:cs="Arial"/>
          <w:sz w:val="20"/>
          <w:szCs w:val="20"/>
        </w:rPr>
        <w:t xml:space="preserve"> these theories and critiques I want to add only one aspect: Privileging the legislative production of human rights over their judicial application is prone to miss the power strategies masked by conflicting definitions of rights.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Again, the fall of the German asylum guarantee can be instructive. Another case in point is the prohibition of torture. The 1948 Universal Declaration on Human Rights, like the 1950 European Convention on Human Rights, strictly and absolutely, albeit programmatically, commands in article 5: “No one shall be subjected to torture or cruel, inhuman or degrading treatment or punishment.” The 1984 Convention against Torture and Other Cruel, Inhuman or Degrading Treatment or Punishment113 attempted to move beyond the generalized vocabulary of “the language of Eden”114 by offering a fairly detailed definition:</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 term torture means any act by which severe pain or suffering, whether physical or mental, is intentionally inflicted on a person for such purposes as obtaining from him or a third person information or a confession, punishing him for an act he or a third person committed or is suspected of having committed, or intimidating or coercing him or a third person, or for any reason based on discrimination of any kind, when such pain or suffering is inflicted by or at the instigation or with the consent or acquiescence of a public official or other person acting in an official capacity. It does not include pain or suffering arising only from, inherent in or incidental to lawful sanctions.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The document anticipated that readers might look for loop-holes: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No exceptional circumstances whatsoever, whether a state of war or a threat of war, internal political instability or any other public emergency, may be invoked as a justification of torture.115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No sooner had this definition been laid down than an endless series of semantic battles began, motivated by unabashedly political concerns. Early on, the US Government, Congress, as well as the Administration, submitted a number of provisos to the Convention’s definition and, in the process, </w:t>
      </w:r>
      <w:r w:rsidRPr="003C6B5F">
        <w:rPr>
          <w:rFonts w:ascii="Arial" w:hAnsi="Arial" w:cs="Arial"/>
          <w:sz w:val="20"/>
          <w:szCs w:val="20"/>
        </w:rPr>
        <w:lastRenderedPageBreak/>
        <w:t>reduced the rather strictly defined interdict to a flexible standard. These definitional moves appear to be designed to cover past and ongoing CIA and military interrogation methods.116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Political battles over the semantics of torture, facilitated by its polysemy, came to a head during the Bush/Cheney Administration. A new narrative of justification was introduced: the responsibility to protect a society from terrorist </w:t>
      </w:r>
      <w:proofErr w:type="gramStart"/>
      <w:r w:rsidRPr="003C6B5F">
        <w:rPr>
          <w:rFonts w:ascii="Arial" w:hAnsi="Arial" w:cs="Arial"/>
          <w:sz w:val="20"/>
          <w:szCs w:val="20"/>
        </w:rPr>
        <w:t>attacks,</w:t>
      </w:r>
      <w:proofErr w:type="gramEnd"/>
      <w:r w:rsidRPr="003C6B5F">
        <w:rPr>
          <w:rFonts w:ascii="Arial" w:hAnsi="Arial" w:cs="Arial"/>
          <w:sz w:val="20"/>
          <w:szCs w:val="20"/>
        </w:rPr>
        <w:t xml:space="preserve"> derived from an always available, extended security apparatus: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“National security” has been the privileged term giving the state discretion to override policies and human rights when it feels threatened by real or imaginary enemies. But Western states have not replaced national with “human” security as the basis for engagement in world politics, “a conception more attentive to the concerns and insecurities of persons and people.”117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The duty to provide security, i.e., to protect, served as a vehicle for putting the former adversary of human rights, the state, alongside the rights holders, and shifted from a vertical to a horizontal understanding of human rights. In the name of security, the commanders and practitioners of torture methods, before and more so after 9/11, claimed authority to conduct more aggressive interrogation methods than were legally permitted.118 Thus, the US Assistant Attorney-General, Jay </w:t>
      </w:r>
      <w:proofErr w:type="spellStart"/>
      <w:r w:rsidRPr="003C6B5F">
        <w:rPr>
          <w:rFonts w:ascii="Arial" w:hAnsi="Arial" w:cs="Arial"/>
          <w:sz w:val="20"/>
          <w:szCs w:val="20"/>
        </w:rPr>
        <w:t>Bybee</w:t>
      </w:r>
      <w:proofErr w:type="spellEnd"/>
      <w:r w:rsidRPr="003C6B5F">
        <w:rPr>
          <w:rFonts w:ascii="Arial" w:hAnsi="Arial" w:cs="Arial"/>
          <w:sz w:val="20"/>
          <w:szCs w:val="20"/>
        </w:rPr>
        <w:t>, defined torture down as: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extreme acts . . . of an intensity akin to that which accompanies serious physical injury such as death or organ failure . . . because the acts inflicting torture are extreme, there is [a] significant range of acts that, though they might constitute cruel, inhuman, or degrading treatment or punishment, fail to rise to the level of torture.119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Members of the administration and the military were instructed by government memoranda that torturing terrorists in captivity abroad “may be justified,” and international laws against torture “may be unconstitutional if applied to interrogations.”120 A memo from 2002 issued by the Justice Department held, among others, that (a) the President’s inherent authority must be construed as overriding the prohibition against torture; (b) “it is difficult to take a specific act out of context and conclude that the act in isolation would constitute torture”; (c) “[f]or purely mental pain or suffering to amount to torture, it must result in significant psychological harm of significant duration, e.g. lasting for months or even years”; and (d) that “harm[</w:t>
      </w:r>
      <w:proofErr w:type="spellStart"/>
      <w:r w:rsidRPr="003C6B5F">
        <w:rPr>
          <w:rFonts w:ascii="Arial" w:hAnsi="Arial" w:cs="Arial"/>
          <w:sz w:val="20"/>
          <w:szCs w:val="20"/>
        </w:rPr>
        <w:t>ing</w:t>
      </w:r>
      <w:proofErr w:type="spellEnd"/>
      <w:r w:rsidRPr="003C6B5F">
        <w:rPr>
          <w:rFonts w:ascii="Arial" w:hAnsi="Arial" w:cs="Arial"/>
          <w:sz w:val="20"/>
          <w:szCs w:val="20"/>
        </w:rPr>
        <w:t>] an enemy combatant during an interrogation in a manner that might arguably violate criminal prohibition” would be justified if done “in order to prevent further attacks on the United States by the al Qaeda terrorist network.”121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In addition to these definitional battles, the US Government intensely exploited the polysemy of torture further by resorting to euphemism and cynicism, dodging the “t-word” by officially talking about “extreme prison conditions,” “disadvantageous” or “full coercive treatment,” “torture lite,” or “extra encouragement” in interrogation situations. What is more, the government outflanked the formalized human right by informal security practices well-known today as “torture by proxy” and “offshore torture.” In keeping with the logic of outsourcing,122 political office-holders, military commanders, and secret service agents sought to sidestep the charge of human rights violations: They delegated the application of violence to proxyholders—countries and subcontracted private agencies—well-known for brutal interrogation techniques.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From these semantic battles and strategies to camouflage torture practices, one may infer that a definition of torture, however strict, does not put to rest the politics of organized cruelty. On the contrary, the stricter the prohibition, the more it will provoke governmental opposition, because an absolute prohibition escapes “the familiar dynamic of rights and state power, in which the recognition of a right is also, and arguably more importantly, an acknowledgment of state power.”123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 Epilogs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5.1. Epilog 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lastRenderedPageBreak/>
        <w:t>Human rights narratives, this much can be learned from the recent discourse on “rescue torture,” whether they employ reality as tragedy or romance, or justify or lean toward myth or ideology, cannot but normalize whatever they deal with as legal phenomena. Normalization is a matter of language and implies definition: It even turns a taboo—torture—into an object of law, places it as a human right interdict in the familiar narrative context of law and rights and sets off the search for exceptions. 124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Normalization is also a matter of method. It affects the application of human rights and includes them in the interplay of syllogisms and balancing.</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Moreover, normalization is a matter of politics. It forces human rights—dignity, asylum, free speech, and as was shown above the prohibition of torture—into a competition with other vocabularies.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5.2. Epilog 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Human rights law contains many stories that may be told as an antidote to romantic hyperbole. Torture is only one case in point but an important one. It radically and irrevocably marks the moment when the belief in a just world is shattered. Then and there all justifying, mythologizing, </w:t>
      </w:r>
      <w:proofErr w:type="spellStart"/>
      <w:r w:rsidRPr="003C6B5F">
        <w:rPr>
          <w:rFonts w:ascii="Arial" w:hAnsi="Arial" w:cs="Arial"/>
          <w:sz w:val="20"/>
          <w:szCs w:val="20"/>
        </w:rPr>
        <w:t>ideologizing</w:t>
      </w:r>
      <w:proofErr w:type="spellEnd"/>
      <w:r w:rsidRPr="003C6B5F">
        <w:rPr>
          <w:rFonts w:ascii="Arial" w:hAnsi="Arial" w:cs="Arial"/>
          <w:sz w:val="20"/>
          <w:szCs w:val="20"/>
        </w:rPr>
        <w:t xml:space="preserve"> and normalizing ends, because torture destroys the very humanity and thereby bares the core of any human rights narrative—the individual’s authorship of her life history.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This internal connection between human rights and biographical authorship needs to be cast as tragedy and defended against all odds and mobilized against all attempts to defend, define “down,” vindicate, justify or cover up organized brutality. Once this connection has been recognized as constituting the </w:t>
      </w:r>
      <w:proofErr w:type="spellStart"/>
      <w:r w:rsidRPr="003C6B5F">
        <w:rPr>
          <w:rFonts w:ascii="Arial" w:hAnsi="Arial" w:cs="Arial"/>
          <w:sz w:val="20"/>
          <w:szCs w:val="20"/>
        </w:rPr>
        <w:t>narrativity</w:t>
      </w:r>
      <w:proofErr w:type="spellEnd"/>
      <w:r w:rsidRPr="003C6B5F">
        <w:rPr>
          <w:rFonts w:ascii="Arial" w:hAnsi="Arial" w:cs="Arial"/>
          <w:sz w:val="20"/>
          <w:szCs w:val="20"/>
        </w:rPr>
        <w:t xml:space="preserve"> of human rights law, it can be reimagined as a point of departure for the resistance against normalization, because it sustains whatever is not delusive about the belief in a just world.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For commenting on earlier drafts I am indebted to </w:t>
      </w:r>
      <w:proofErr w:type="spellStart"/>
      <w:r w:rsidRPr="003C6B5F">
        <w:rPr>
          <w:rFonts w:ascii="Arial" w:hAnsi="Arial" w:cs="Arial"/>
          <w:sz w:val="20"/>
          <w:szCs w:val="20"/>
        </w:rPr>
        <w:t>Cathérine</w:t>
      </w:r>
      <w:proofErr w:type="spellEnd"/>
      <w:r w:rsidRPr="003C6B5F">
        <w:rPr>
          <w:rFonts w:ascii="Arial" w:hAnsi="Arial" w:cs="Arial"/>
          <w:sz w:val="20"/>
          <w:szCs w:val="20"/>
        </w:rPr>
        <w:t xml:space="preserve"> </w:t>
      </w:r>
      <w:proofErr w:type="spellStart"/>
      <w:r w:rsidRPr="003C6B5F">
        <w:rPr>
          <w:rFonts w:ascii="Arial" w:hAnsi="Arial" w:cs="Arial"/>
          <w:sz w:val="20"/>
          <w:szCs w:val="20"/>
        </w:rPr>
        <w:t>Dupré</w:t>
      </w:r>
      <w:proofErr w:type="spellEnd"/>
      <w:r w:rsidRPr="003C6B5F">
        <w:rPr>
          <w:rFonts w:ascii="Arial" w:hAnsi="Arial" w:cs="Arial"/>
          <w:sz w:val="20"/>
          <w:szCs w:val="20"/>
        </w:rPr>
        <w:t xml:space="preserve">, </w:t>
      </w:r>
      <w:proofErr w:type="spellStart"/>
      <w:r w:rsidRPr="003C6B5F">
        <w:rPr>
          <w:rFonts w:ascii="Arial" w:hAnsi="Arial" w:cs="Arial"/>
          <w:sz w:val="20"/>
          <w:szCs w:val="20"/>
        </w:rPr>
        <w:t>Anuscheh</w:t>
      </w:r>
      <w:proofErr w:type="spellEnd"/>
      <w:r w:rsidRPr="003C6B5F">
        <w:rPr>
          <w:rFonts w:ascii="Arial" w:hAnsi="Arial" w:cs="Arial"/>
          <w:sz w:val="20"/>
          <w:szCs w:val="20"/>
        </w:rPr>
        <w:t xml:space="preserve"> </w:t>
      </w:r>
      <w:proofErr w:type="spellStart"/>
      <w:r w:rsidRPr="003C6B5F">
        <w:rPr>
          <w:rFonts w:ascii="Arial" w:hAnsi="Arial" w:cs="Arial"/>
          <w:sz w:val="20"/>
          <w:szCs w:val="20"/>
        </w:rPr>
        <w:t>Farahat</w:t>
      </w:r>
      <w:proofErr w:type="spellEnd"/>
      <w:r w:rsidRPr="003C6B5F">
        <w:rPr>
          <w:rFonts w:ascii="Arial" w:hAnsi="Arial" w:cs="Arial"/>
          <w:sz w:val="20"/>
          <w:szCs w:val="20"/>
        </w:rPr>
        <w:t xml:space="preserve">, Klaus </w:t>
      </w:r>
      <w:proofErr w:type="spellStart"/>
      <w:r w:rsidRPr="003C6B5F">
        <w:rPr>
          <w:rFonts w:ascii="Arial" w:hAnsi="Arial" w:cs="Arial"/>
          <w:sz w:val="20"/>
          <w:szCs w:val="20"/>
        </w:rPr>
        <w:t>Günther</w:t>
      </w:r>
      <w:proofErr w:type="spellEnd"/>
      <w:r w:rsidRPr="003C6B5F">
        <w:rPr>
          <w:rFonts w:ascii="Arial" w:hAnsi="Arial" w:cs="Arial"/>
          <w:sz w:val="20"/>
          <w:szCs w:val="20"/>
        </w:rPr>
        <w:t xml:space="preserve">, Stefan </w:t>
      </w:r>
      <w:proofErr w:type="spellStart"/>
      <w:r w:rsidRPr="003C6B5F">
        <w:rPr>
          <w:rFonts w:ascii="Arial" w:hAnsi="Arial" w:cs="Arial"/>
          <w:sz w:val="20"/>
          <w:szCs w:val="20"/>
        </w:rPr>
        <w:t>Kadelbach</w:t>
      </w:r>
      <w:proofErr w:type="spellEnd"/>
      <w:r w:rsidRPr="003C6B5F">
        <w:rPr>
          <w:rFonts w:ascii="Arial" w:hAnsi="Arial" w:cs="Arial"/>
          <w:sz w:val="20"/>
          <w:szCs w:val="20"/>
        </w:rPr>
        <w:t xml:space="preserve">, </w:t>
      </w:r>
      <w:proofErr w:type="spellStart"/>
      <w:r w:rsidRPr="003C6B5F">
        <w:rPr>
          <w:rFonts w:ascii="Arial" w:hAnsi="Arial" w:cs="Arial"/>
          <w:sz w:val="20"/>
          <w:szCs w:val="20"/>
        </w:rPr>
        <w:t>Outi</w:t>
      </w:r>
      <w:proofErr w:type="spellEnd"/>
      <w:r w:rsidRPr="003C6B5F">
        <w:rPr>
          <w:rFonts w:ascii="Arial" w:hAnsi="Arial" w:cs="Arial"/>
          <w:sz w:val="20"/>
          <w:szCs w:val="20"/>
        </w:rPr>
        <w:t xml:space="preserve"> </w:t>
      </w:r>
      <w:proofErr w:type="spellStart"/>
      <w:r w:rsidRPr="003C6B5F">
        <w:rPr>
          <w:rFonts w:ascii="Arial" w:hAnsi="Arial" w:cs="Arial"/>
          <w:sz w:val="20"/>
          <w:szCs w:val="20"/>
        </w:rPr>
        <w:t>Korhonen</w:t>
      </w:r>
      <w:proofErr w:type="spellEnd"/>
      <w:r w:rsidRPr="003C6B5F">
        <w:rPr>
          <w:rFonts w:ascii="Arial" w:hAnsi="Arial" w:cs="Arial"/>
          <w:sz w:val="20"/>
          <w:szCs w:val="20"/>
        </w:rPr>
        <w:t xml:space="preserve">, and Anne </w:t>
      </w:r>
      <w:proofErr w:type="spellStart"/>
      <w:r w:rsidRPr="003C6B5F">
        <w:rPr>
          <w:rFonts w:ascii="Arial" w:hAnsi="Arial" w:cs="Arial"/>
          <w:sz w:val="20"/>
          <w:szCs w:val="20"/>
        </w:rPr>
        <w:t>Orford</w:t>
      </w:r>
      <w:proofErr w:type="spellEnd"/>
      <w:r w:rsidRPr="003C6B5F">
        <w:rPr>
          <w:rFonts w:ascii="Arial" w:hAnsi="Arial" w:cs="Arial"/>
          <w:sz w:val="20"/>
          <w:szCs w:val="20"/>
        </w:rPr>
        <w:t xml:space="preserve">. </w:t>
      </w:r>
      <w:proofErr w:type="spellStart"/>
      <w:r w:rsidRPr="003C6B5F">
        <w:rPr>
          <w:rFonts w:ascii="Arial" w:hAnsi="Arial" w:cs="Arial"/>
          <w:sz w:val="20"/>
          <w:szCs w:val="20"/>
        </w:rPr>
        <w:t>Asmaa</w:t>
      </w:r>
      <w:proofErr w:type="spellEnd"/>
      <w:r w:rsidRPr="003C6B5F">
        <w:rPr>
          <w:rFonts w:ascii="Arial" w:hAnsi="Arial" w:cs="Arial"/>
          <w:sz w:val="20"/>
          <w:szCs w:val="20"/>
        </w:rPr>
        <w:t xml:space="preserve"> El </w:t>
      </w:r>
      <w:proofErr w:type="spellStart"/>
      <w:r w:rsidRPr="003C6B5F">
        <w:rPr>
          <w:rFonts w:ascii="Arial" w:hAnsi="Arial" w:cs="Arial"/>
          <w:sz w:val="20"/>
          <w:szCs w:val="20"/>
        </w:rPr>
        <w:t>Idrissi</w:t>
      </w:r>
      <w:proofErr w:type="spellEnd"/>
      <w:r w:rsidRPr="003C6B5F">
        <w:rPr>
          <w:rFonts w:ascii="Arial" w:hAnsi="Arial" w:cs="Arial"/>
          <w:sz w:val="20"/>
          <w:szCs w:val="20"/>
        </w:rPr>
        <w:t xml:space="preserve">, Cara </w:t>
      </w:r>
      <w:proofErr w:type="spellStart"/>
      <w:r w:rsidRPr="003C6B5F">
        <w:rPr>
          <w:rFonts w:ascii="Arial" w:hAnsi="Arial" w:cs="Arial"/>
          <w:sz w:val="20"/>
          <w:szCs w:val="20"/>
        </w:rPr>
        <w:t>Röhner</w:t>
      </w:r>
      <w:proofErr w:type="spellEnd"/>
      <w:r w:rsidRPr="003C6B5F">
        <w:rPr>
          <w:rFonts w:ascii="Arial" w:hAnsi="Arial" w:cs="Arial"/>
          <w:sz w:val="20"/>
          <w:szCs w:val="20"/>
        </w:rPr>
        <w:t xml:space="preserve">, and Helena </w:t>
      </w:r>
      <w:proofErr w:type="spellStart"/>
      <w:r w:rsidRPr="003C6B5F">
        <w:rPr>
          <w:rFonts w:ascii="Arial" w:hAnsi="Arial" w:cs="Arial"/>
          <w:sz w:val="20"/>
          <w:szCs w:val="20"/>
        </w:rPr>
        <w:t>Lindemann</w:t>
      </w:r>
      <w:proofErr w:type="spellEnd"/>
      <w:r w:rsidRPr="003C6B5F">
        <w:rPr>
          <w:rFonts w:ascii="Arial" w:hAnsi="Arial" w:cs="Arial"/>
          <w:sz w:val="20"/>
          <w:szCs w:val="20"/>
        </w:rPr>
        <w:t xml:space="preserve"> provided invaluable research assistance.</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Stefan Merrill Block, The Story of Forgetting 197 (2009).</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Terry Eagleton, Ideology. An Introduction 27 (new ed. 2007).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According to Claudia </w:t>
      </w:r>
      <w:proofErr w:type="spellStart"/>
      <w:r w:rsidRPr="003C6B5F">
        <w:rPr>
          <w:rFonts w:ascii="Arial" w:hAnsi="Arial" w:cs="Arial"/>
          <w:sz w:val="20"/>
          <w:szCs w:val="20"/>
        </w:rPr>
        <w:t>Dalbert’s</w:t>
      </w:r>
      <w:proofErr w:type="spellEnd"/>
      <w:r w:rsidRPr="003C6B5F">
        <w:rPr>
          <w:rFonts w:ascii="Arial" w:hAnsi="Arial" w:cs="Arial"/>
          <w:sz w:val="20"/>
          <w:szCs w:val="20"/>
        </w:rPr>
        <w:t xml:space="preserve"> analysis of empirical studies concerning the own or observed experience of injustice: Claudia </w:t>
      </w:r>
      <w:proofErr w:type="spellStart"/>
      <w:r w:rsidRPr="003C6B5F">
        <w:rPr>
          <w:rFonts w:ascii="Arial" w:hAnsi="Arial" w:cs="Arial"/>
          <w:sz w:val="20"/>
          <w:szCs w:val="20"/>
        </w:rPr>
        <w:t>Dalbert</w:t>
      </w:r>
      <w:proofErr w:type="spellEnd"/>
      <w:r w:rsidRPr="003C6B5F">
        <w:rPr>
          <w:rFonts w:ascii="Arial" w:hAnsi="Arial" w:cs="Arial"/>
          <w:sz w:val="20"/>
          <w:szCs w:val="20"/>
        </w:rPr>
        <w:t xml:space="preserve">, </w:t>
      </w:r>
      <w:proofErr w:type="spellStart"/>
      <w:r w:rsidRPr="003C6B5F">
        <w:rPr>
          <w:rFonts w:ascii="Arial" w:hAnsi="Arial" w:cs="Arial"/>
          <w:sz w:val="20"/>
          <w:szCs w:val="20"/>
        </w:rPr>
        <w:t>Über</w:t>
      </w:r>
      <w:proofErr w:type="spellEnd"/>
      <w:r w:rsidRPr="003C6B5F">
        <w:rPr>
          <w:rFonts w:ascii="Arial" w:hAnsi="Arial" w:cs="Arial"/>
          <w:sz w:val="20"/>
          <w:szCs w:val="20"/>
        </w:rPr>
        <w:t xml:space="preserve"> den </w:t>
      </w:r>
      <w:proofErr w:type="spellStart"/>
      <w:r w:rsidRPr="003C6B5F">
        <w:rPr>
          <w:rFonts w:ascii="Arial" w:hAnsi="Arial" w:cs="Arial"/>
          <w:sz w:val="20"/>
          <w:szCs w:val="20"/>
        </w:rPr>
        <w:t>Umgang</w:t>
      </w:r>
      <w:proofErr w:type="spellEnd"/>
      <w:r w:rsidRPr="003C6B5F">
        <w:rPr>
          <w:rFonts w:ascii="Arial" w:hAnsi="Arial" w:cs="Arial"/>
          <w:sz w:val="20"/>
          <w:szCs w:val="20"/>
        </w:rPr>
        <w:t xml:space="preserve"> </w:t>
      </w:r>
      <w:proofErr w:type="spellStart"/>
      <w:r w:rsidRPr="003C6B5F">
        <w:rPr>
          <w:rFonts w:ascii="Arial" w:hAnsi="Arial" w:cs="Arial"/>
          <w:sz w:val="20"/>
          <w:szCs w:val="20"/>
        </w:rPr>
        <w:t>mit</w:t>
      </w:r>
      <w:proofErr w:type="spellEnd"/>
      <w:r w:rsidRPr="003C6B5F">
        <w:rPr>
          <w:rFonts w:ascii="Arial" w:hAnsi="Arial" w:cs="Arial"/>
          <w:sz w:val="20"/>
          <w:szCs w:val="20"/>
        </w:rPr>
        <w:t xml:space="preserve"> </w:t>
      </w:r>
      <w:proofErr w:type="spellStart"/>
      <w:r w:rsidRPr="003C6B5F">
        <w:rPr>
          <w:rFonts w:ascii="Arial" w:hAnsi="Arial" w:cs="Arial"/>
          <w:sz w:val="20"/>
          <w:szCs w:val="20"/>
        </w:rPr>
        <w:t>Ungerechtigkeit</w:t>
      </w:r>
      <w:proofErr w:type="spellEnd"/>
      <w:r w:rsidRPr="003C6B5F">
        <w:rPr>
          <w:rFonts w:ascii="Arial" w:hAnsi="Arial" w:cs="Arial"/>
          <w:sz w:val="20"/>
          <w:szCs w:val="20"/>
        </w:rPr>
        <w:t xml:space="preserve">. </w:t>
      </w:r>
      <w:proofErr w:type="spellStart"/>
      <w:r w:rsidRPr="003C6B5F">
        <w:rPr>
          <w:rFonts w:ascii="Arial" w:hAnsi="Arial" w:cs="Arial"/>
          <w:sz w:val="20"/>
          <w:szCs w:val="20"/>
        </w:rPr>
        <w:t>Eine</w:t>
      </w:r>
      <w:proofErr w:type="spellEnd"/>
      <w:r w:rsidRPr="003C6B5F">
        <w:rPr>
          <w:rFonts w:ascii="Arial" w:hAnsi="Arial" w:cs="Arial"/>
          <w:sz w:val="20"/>
          <w:szCs w:val="20"/>
        </w:rPr>
        <w:t xml:space="preserve"> </w:t>
      </w:r>
      <w:proofErr w:type="spellStart"/>
      <w:r w:rsidRPr="003C6B5F">
        <w:rPr>
          <w:rFonts w:ascii="Arial" w:hAnsi="Arial" w:cs="Arial"/>
          <w:sz w:val="20"/>
          <w:szCs w:val="20"/>
        </w:rPr>
        <w:t>psychologische</w:t>
      </w:r>
      <w:proofErr w:type="spellEnd"/>
      <w:r w:rsidRPr="003C6B5F">
        <w:rPr>
          <w:rFonts w:ascii="Arial" w:hAnsi="Arial" w:cs="Arial"/>
          <w:sz w:val="20"/>
          <w:szCs w:val="20"/>
        </w:rPr>
        <w:t xml:space="preserve"> </w:t>
      </w:r>
      <w:proofErr w:type="spellStart"/>
      <w:r w:rsidRPr="003C6B5F">
        <w:rPr>
          <w:rFonts w:ascii="Arial" w:hAnsi="Arial" w:cs="Arial"/>
          <w:sz w:val="20"/>
          <w:szCs w:val="20"/>
        </w:rPr>
        <w:t>Analyse</w:t>
      </w:r>
      <w:proofErr w:type="spellEnd"/>
      <w:r w:rsidRPr="003C6B5F">
        <w:rPr>
          <w:rFonts w:ascii="Arial" w:hAnsi="Arial" w:cs="Arial"/>
          <w:sz w:val="20"/>
          <w:szCs w:val="20"/>
        </w:rPr>
        <w:t xml:space="preserve"> (1996) based on the just-world-hypothesis in Melvin J. Lerner, The Desire for Justice and Reactions to Victims, </w:t>
      </w:r>
      <w:proofErr w:type="spellStart"/>
      <w:r w:rsidRPr="003C6B5F">
        <w:rPr>
          <w:rFonts w:ascii="Arial" w:hAnsi="Arial" w:cs="Arial"/>
          <w:sz w:val="20"/>
          <w:szCs w:val="20"/>
        </w:rPr>
        <w:t>inAltruism</w:t>
      </w:r>
      <w:proofErr w:type="spellEnd"/>
      <w:r w:rsidRPr="003C6B5F">
        <w:rPr>
          <w:rFonts w:ascii="Arial" w:hAnsi="Arial" w:cs="Arial"/>
          <w:sz w:val="20"/>
          <w:szCs w:val="20"/>
        </w:rPr>
        <w:t xml:space="preserve"> and Helping </w:t>
      </w:r>
      <w:proofErr w:type="spellStart"/>
      <w:r w:rsidRPr="003C6B5F">
        <w:rPr>
          <w:rFonts w:ascii="Arial" w:hAnsi="Arial" w:cs="Arial"/>
          <w:sz w:val="20"/>
          <w:szCs w:val="20"/>
        </w:rPr>
        <w:t>Behaviour</w:t>
      </w:r>
      <w:proofErr w:type="spellEnd"/>
      <w:r w:rsidRPr="003C6B5F">
        <w:rPr>
          <w:rFonts w:ascii="Arial" w:hAnsi="Arial" w:cs="Arial"/>
          <w:sz w:val="20"/>
          <w:szCs w:val="20"/>
        </w:rPr>
        <w:t xml:space="preserve"> 205 (Jacqueline </w:t>
      </w:r>
      <w:proofErr w:type="spellStart"/>
      <w:r w:rsidRPr="003C6B5F">
        <w:rPr>
          <w:rFonts w:ascii="Arial" w:hAnsi="Arial" w:cs="Arial"/>
          <w:sz w:val="20"/>
          <w:szCs w:val="20"/>
        </w:rPr>
        <w:t>Macauley</w:t>
      </w:r>
      <w:proofErr w:type="spellEnd"/>
      <w:r w:rsidRPr="003C6B5F">
        <w:rPr>
          <w:rFonts w:ascii="Arial" w:hAnsi="Arial" w:cs="Arial"/>
          <w:sz w:val="20"/>
          <w:szCs w:val="20"/>
        </w:rPr>
        <w:t xml:space="preserve"> &amp; Leonard Berkowitz eds., 1970); for an overview of the justice-related research, see Melvin J. Lerner, The Justice Motive: Where Social </w:t>
      </w:r>
      <w:r w:rsidRPr="003C6B5F">
        <w:rPr>
          <w:rFonts w:ascii="Arial" w:hAnsi="Arial" w:cs="Arial"/>
          <w:sz w:val="20"/>
          <w:szCs w:val="20"/>
        </w:rPr>
        <w:lastRenderedPageBreak/>
        <w:t>Psychologists Found It, How They Lost It, and Why They May Not Find It Again, 7 Personality &amp; Soc. Psych. Rev. 388 (2003).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I borrow the categories of tragedy and romance from Northrop Frye’s and Hayden White’s archetypical genres providing </w:t>
      </w:r>
      <w:proofErr w:type="spellStart"/>
      <w:r w:rsidRPr="003C6B5F">
        <w:rPr>
          <w:rFonts w:ascii="Arial" w:hAnsi="Arial" w:cs="Arial"/>
          <w:sz w:val="20"/>
          <w:szCs w:val="20"/>
        </w:rPr>
        <w:t>emplotments</w:t>
      </w:r>
      <w:proofErr w:type="spellEnd"/>
      <w:r w:rsidRPr="003C6B5F">
        <w:rPr>
          <w:rFonts w:ascii="Arial" w:hAnsi="Arial" w:cs="Arial"/>
          <w:sz w:val="20"/>
          <w:szCs w:val="20"/>
        </w:rPr>
        <w:t xml:space="preserve"> and rather freely transfer them from history to biography, and later to the narratives of human rights law. </w:t>
      </w:r>
      <w:proofErr w:type="spellStart"/>
      <w:r w:rsidRPr="003C6B5F">
        <w:rPr>
          <w:rFonts w:ascii="Arial" w:hAnsi="Arial" w:cs="Arial"/>
          <w:sz w:val="20"/>
          <w:szCs w:val="20"/>
        </w:rPr>
        <w:t>SeeNorthrop</w:t>
      </w:r>
      <w:proofErr w:type="spellEnd"/>
      <w:r w:rsidRPr="003C6B5F">
        <w:rPr>
          <w:rFonts w:ascii="Arial" w:hAnsi="Arial" w:cs="Arial"/>
          <w:sz w:val="20"/>
          <w:szCs w:val="20"/>
        </w:rPr>
        <w:t xml:space="preserve"> Frye, </w:t>
      </w:r>
      <w:proofErr w:type="gramStart"/>
      <w:r w:rsidRPr="003C6B5F">
        <w:rPr>
          <w:rFonts w:ascii="Arial" w:hAnsi="Arial" w:cs="Arial"/>
          <w:sz w:val="20"/>
          <w:szCs w:val="20"/>
        </w:rPr>
        <w:t>The</w:t>
      </w:r>
      <w:proofErr w:type="gramEnd"/>
      <w:r w:rsidRPr="003C6B5F">
        <w:rPr>
          <w:rFonts w:ascii="Arial" w:hAnsi="Arial" w:cs="Arial"/>
          <w:sz w:val="20"/>
          <w:szCs w:val="20"/>
        </w:rPr>
        <w:t xml:space="preserve"> Anatomy of Criticism (1957); Hayden White, </w:t>
      </w:r>
      <w:proofErr w:type="spellStart"/>
      <w:r w:rsidRPr="003C6B5F">
        <w:rPr>
          <w:rFonts w:ascii="Arial" w:hAnsi="Arial" w:cs="Arial"/>
          <w:sz w:val="20"/>
          <w:szCs w:val="20"/>
        </w:rPr>
        <w:t>Metahistory</w:t>
      </w:r>
      <w:proofErr w:type="spellEnd"/>
      <w:r w:rsidRPr="003C6B5F">
        <w:rPr>
          <w:rFonts w:ascii="Arial" w:hAnsi="Arial" w:cs="Arial"/>
          <w:sz w:val="20"/>
          <w:szCs w:val="20"/>
        </w:rPr>
        <w:t xml:space="preserve">: The Historical Imagination of the 19th-Century (1973). See </w:t>
      </w:r>
      <w:proofErr w:type="spellStart"/>
      <w:r w:rsidRPr="003C6B5F">
        <w:rPr>
          <w:rFonts w:ascii="Arial" w:hAnsi="Arial" w:cs="Arial"/>
          <w:sz w:val="20"/>
          <w:szCs w:val="20"/>
        </w:rPr>
        <w:t>alsoRoland</w:t>
      </w:r>
      <w:proofErr w:type="spellEnd"/>
      <w:r w:rsidRPr="003C6B5F">
        <w:rPr>
          <w:rFonts w:ascii="Arial" w:hAnsi="Arial" w:cs="Arial"/>
          <w:sz w:val="20"/>
          <w:szCs w:val="20"/>
        </w:rPr>
        <w:t xml:space="preserve"> Barthes, Sur Racine (1963); David Scott, Conscripts of Modernity: The Tragedy of Colonial Enlightenment (2004). Regarding human rights, see, in particular, Susan Marks’s fascinating reading of the human rights discourse as basically split between tragedy and romance: Susan Marks, Human Rights in Disastrous Times, </w:t>
      </w:r>
      <w:proofErr w:type="spellStart"/>
      <w:r w:rsidRPr="003C6B5F">
        <w:rPr>
          <w:rFonts w:ascii="Arial" w:hAnsi="Arial" w:cs="Arial"/>
          <w:sz w:val="20"/>
          <w:szCs w:val="20"/>
        </w:rPr>
        <w:t>inThe</w:t>
      </w:r>
      <w:proofErr w:type="spellEnd"/>
      <w:r w:rsidRPr="003C6B5F">
        <w:rPr>
          <w:rFonts w:ascii="Arial" w:hAnsi="Arial" w:cs="Arial"/>
          <w:sz w:val="20"/>
          <w:szCs w:val="20"/>
        </w:rPr>
        <w:t xml:space="preserve"> Cambridge Companion to International Law 309 (James Crawford &amp; </w:t>
      </w:r>
      <w:proofErr w:type="spellStart"/>
      <w:r w:rsidRPr="003C6B5F">
        <w:rPr>
          <w:rFonts w:ascii="Arial" w:hAnsi="Arial" w:cs="Arial"/>
          <w:sz w:val="20"/>
          <w:szCs w:val="20"/>
        </w:rPr>
        <w:t>Martti</w:t>
      </w:r>
      <w:proofErr w:type="spellEnd"/>
      <w:r w:rsidRPr="003C6B5F">
        <w:rPr>
          <w:rFonts w:ascii="Arial" w:hAnsi="Arial" w:cs="Arial"/>
          <w:sz w:val="20"/>
          <w:szCs w:val="20"/>
        </w:rPr>
        <w:t xml:space="preserve"> </w:t>
      </w:r>
      <w:proofErr w:type="spellStart"/>
      <w:r w:rsidRPr="003C6B5F">
        <w:rPr>
          <w:rFonts w:ascii="Arial" w:hAnsi="Arial" w:cs="Arial"/>
          <w:sz w:val="20"/>
          <w:szCs w:val="20"/>
        </w:rPr>
        <w:t>Koskenniemi</w:t>
      </w:r>
      <w:proofErr w:type="spellEnd"/>
      <w:r w:rsidRPr="003C6B5F">
        <w:rPr>
          <w:rFonts w:ascii="Arial" w:hAnsi="Arial" w:cs="Arial"/>
          <w:sz w:val="20"/>
          <w:szCs w:val="20"/>
        </w:rPr>
        <w:t xml:space="preserve"> eds., 2012), and Anne </w:t>
      </w:r>
      <w:proofErr w:type="spellStart"/>
      <w:r w:rsidRPr="003C6B5F">
        <w:rPr>
          <w:rFonts w:ascii="Arial" w:hAnsi="Arial" w:cs="Arial"/>
          <w:sz w:val="20"/>
          <w:szCs w:val="20"/>
        </w:rPr>
        <w:t>Orford</w:t>
      </w:r>
      <w:proofErr w:type="spellEnd"/>
      <w:r w:rsidRPr="003C6B5F">
        <w:rPr>
          <w:rFonts w:ascii="Arial" w:hAnsi="Arial" w:cs="Arial"/>
          <w:sz w:val="20"/>
          <w:szCs w:val="20"/>
        </w:rPr>
        <w:t xml:space="preserve">, </w:t>
      </w:r>
      <w:proofErr w:type="spellStart"/>
      <w:r w:rsidRPr="003C6B5F">
        <w:rPr>
          <w:rFonts w:ascii="Arial" w:hAnsi="Arial" w:cs="Arial"/>
          <w:sz w:val="20"/>
          <w:szCs w:val="20"/>
        </w:rPr>
        <w:t>Biopolitics</w:t>
      </w:r>
      <w:proofErr w:type="spellEnd"/>
      <w:r w:rsidRPr="003C6B5F">
        <w:rPr>
          <w:rFonts w:ascii="Arial" w:hAnsi="Arial" w:cs="Arial"/>
          <w:sz w:val="20"/>
          <w:szCs w:val="20"/>
        </w:rPr>
        <w:t xml:space="preserve"> and the Tragic Subject of Human Rights, in The Logics of </w:t>
      </w:r>
      <w:proofErr w:type="spellStart"/>
      <w:r w:rsidRPr="003C6B5F">
        <w:rPr>
          <w:rFonts w:ascii="Arial" w:hAnsi="Arial" w:cs="Arial"/>
          <w:sz w:val="20"/>
          <w:szCs w:val="20"/>
        </w:rPr>
        <w:t>Biopower</w:t>
      </w:r>
      <w:proofErr w:type="spellEnd"/>
      <w:r w:rsidRPr="003C6B5F">
        <w:rPr>
          <w:rFonts w:ascii="Arial" w:hAnsi="Arial" w:cs="Arial"/>
          <w:sz w:val="20"/>
          <w:szCs w:val="20"/>
        </w:rPr>
        <w:t xml:space="preserve"> and the War on Terror 205 (Elizabeth </w:t>
      </w:r>
      <w:proofErr w:type="spellStart"/>
      <w:r w:rsidRPr="003C6B5F">
        <w:rPr>
          <w:rFonts w:ascii="Arial" w:hAnsi="Arial" w:cs="Arial"/>
          <w:sz w:val="20"/>
          <w:szCs w:val="20"/>
        </w:rPr>
        <w:t>Dauphinee</w:t>
      </w:r>
      <w:proofErr w:type="spellEnd"/>
      <w:r w:rsidRPr="003C6B5F">
        <w:rPr>
          <w:rFonts w:ascii="Arial" w:hAnsi="Arial" w:cs="Arial"/>
          <w:sz w:val="20"/>
          <w:szCs w:val="20"/>
        </w:rPr>
        <w:t xml:space="preserve"> &amp; Christina Masters eds., 2007), especially on the tragic tradition infusing human rights.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SeeEagleton</w:t>
      </w:r>
      <w:proofErr w:type="spellEnd"/>
      <w:r w:rsidRPr="003C6B5F">
        <w:rPr>
          <w:rFonts w:ascii="Arial" w:hAnsi="Arial" w:cs="Arial"/>
          <w:sz w:val="20"/>
          <w:szCs w:val="20"/>
        </w:rPr>
        <w:t>, supra note 3, at 27.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George Steiner, </w:t>
      </w:r>
      <w:proofErr w:type="gramStart"/>
      <w:r w:rsidRPr="003C6B5F">
        <w:rPr>
          <w:rFonts w:ascii="Arial" w:hAnsi="Arial" w:cs="Arial"/>
          <w:sz w:val="20"/>
          <w:szCs w:val="20"/>
        </w:rPr>
        <w:t>The</w:t>
      </w:r>
      <w:proofErr w:type="gramEnd"/>
      <w:r w:rsidRPr="003C6B5F">
        <w:rPr>
          <w:rFonts w:ascii="Arial" w:hAnsi="Arial" w:cs="Arial"/>
          <w:sz w:val="20"/>
          <w:szCs w:val="20"/>
        </w:rPr>
        <w:t xml:space="preserve"> Death of Tragedy (1961).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Martti</w:t>
      </w:r>
      <w:proofErr w:type="spellEnd"/>
      <w:r w:rsidRPr="003C6B5F">
        <w:rPr>
          <w:rFonts w:ascii="Arial" w:hAnsi="Arial" w:cs="Arial"/>
          <w:sz w:val="20"/>
          <w:szCs w:val="20"/>
        </w:rPr>
        <w:t xml:space="preserve"> </w:t>
      </w:r>
      <w:proofErr w:type="spellStart"/>
      <w:r w:rsidRPr="003C6B5F">
        <w:rPr>
          <w:rFonts w:ascii="Arial" w:hAnsi="Arial" w:cs="Arial"/>
          <w:sz w:val="20"/>
          <w:szCs w:val="20"/>
        </w:rPr>
        <w:t>Koskenniemi</w:t>
      </w:r>
      <w:proofErr w:type="spellEnd"/>
      <w:r w:rsidRPr="003C6B5F">
        <w:rPr>
          <w:rFonts w:ascii="Arial" w:hAnsi="Arial" w:cs="Arial"/>
          <w:sz w:val="20"/>
          <w:szCs w:val="20"/>
        </w:rPr>
        <w:t xml:space="preserve">, </w:t>
      </w:r>
      <w:proofErr w:type="gramStart"/>
      <w:r w:rsidRPr="003C6B5F">
        <w:rPr>
          <w:rFonts w:ascii="Arial" w:hAnsi="Arial" w:cs="Arial"/>
          <w:sz w:val="20"/>
          <w:szCs w:val="20"/>
        </w:rPr>
        <w:t>The</w:t>
      </w:r>
      <w:proofErr w:type="gramEnd"/>
      <w:r w:rsidRPr="003C6B5F">
        <w:rPr>
          <w:rFonts w:ascii="Arial" w:hAnsi="Arial" w:cs="Arial"/>
          <w:sz w:val="20"/>
          <w:szCs w:val="20"/>
        </w:rPr>
        <w:t xml:space="preserve"> Fate of Public International Law: Between Technique and Politics, 70 Mod. L. Rev. 1 (2007).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From the vast literature, see </w:t>
      </w:r>
      <w:proofErr w:type="spellStart"/>
      <w:r w:rsidRPr="003C6B5F">
        <w:rPr>
          <w:rFonts w:ascii="Arial" w:hAnsi="Arial" w:cs="Arial"/>
          <w:sz w:val="20"/>
          <w:szCs w:val="20"/>
        </w:rPr>
        <w:t>onlyTheories</w:t>
      </w:r>
      <w:proofErr w:type="spellEnd"/>
      <w:r w:rsidRPr="003C6B5F">
        <w:rPr>
          <w:rFonts w:ascii="Arial" w:hAnsi="Arial" w:cs="Arial"/>
          <w:sz w:val="20"/>
          <w:szCs w:val="20"/>
        </w:rPr>
        <w:t xml:space="preserve"> of Rights (Jeremy Waldron ed., 1984); Thomas </w:t>
      </w:r>
      <w:proofErr w:type="spellStart"/>
      <w:r w:rsidRPr="003C6B5F">
        <w:rPr>
          <w:rFonts w:ascii="Arial" w:hAnsi="Arial" w:cs="Arial"/>
          <w:sz w:val="20"/>
          <w:szCs w:val="20"/>
        </w:rPr>
        <w:t>Pogge</w:t>
      </w:r>
      <w:proofErr w:type="spellEnd"/>
      <w:r w:rsidRPr="003C6B5F">
        <w:rPr>
          <w:rFonts w:ascii="Arial" w:hAnsi="Arial" w:cs="Arial"/>
          <w:sz w:val="20"/>
          <w:szCs w:val="20"/>
        </w:rPr>
        <w:t xml:space="preserve">, World Poverty and Human Rights (2002); James Nickel, Making Sense of Human Rights (2d ed. 2006); and James Griffin, On Human Rights (2008). For a skeptical evaluation of the performance of UN organs and committees responsible for human rights protection: The United Nations and Human Rights: A Critical Appraisal (Philip Alston &amp; Fred </w:t>
      </w:r>
      <w:proofErr w:type="spellStart"/>
      <w:r w:rsidRPr="003C6B5F">
        <w:rPr>
          <w:rFonts w:ascii="Arial" w:hAnsi="Arial" w:cs="Arial"/>
          <w:sz w:val="20"/>
          <w:szCs w:val="20"/>
        </w:rPr>
        <w:t>Mégret</w:t>
      </w:r>
      <w:proofErr w:type="spellEnd"/>
      <w:r w:rsidRPr="003C6B5F">
        <w:rPr>
          <w:rFonts w:ascii="Arial" w:hAnsi="Arial" w:cs="Arial"/>
          <w:sz w:val="20"/>
          <w:szCs w:val="20"/>
        </w:rPr>
        <w:t xml:space="preserve"> eds., 2011).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Karen Engle calls them, more carefully, “affirmative approaches”: see Karen Engle, International Human Rights and Feminism: When Discourses Meet, 13 Mich. J. Int’l L. 517 (1992). Anne </w:t>
      </w:r>
      <w:proofErr w:type="spellStart"/>
      <w:r w:rsidRPr="003C6B5F">
        <w:rPr>
          <w:rFonts w:ascii="Arial" w:hAnsi="Arial" w:cs="Arial"/>
          <w:sz w:val="20"/>
          <w:szCs w:val="20"/>
        </w:rPr>
        <w:t>Orford</w:t>
      </w:r>
      <w:proofErr w:type="spellEnd"/>
      <w:r w:rsidRPr="003C6B5F">
        <w:rPr>
          <w:rFonts w:ascii="Arial" w:hAnsi="Arial" w:cs="Arial"/>
          <w:sz w:val="20"/>
          <w:szCs w:val="20"/>
        </w:rPr>
        <w:t xml:space="preserve"> stresses that the “human rights discourse has been extremely effective at maintaining public awareness of the </w:t>
      </w:r>
      <w:r w:rsidRPr="003C6B5F">
        <w:rPr>
          <w:rFonts w:ascii="Arial" w:hAnsi="Arial" w:cs="Arial"/>
          <w:sz w:val="20"/>
          <w:szCs w:val="20"/>
        </w:rPr>
        <w:lastRenderedPageBreak/>
        <w:t xml:space="preserve">treatment of detainees” in “the infamous </w:t>
      </w:r>
      <w:proofErr w:type="spellStart"/>
      <w:r w:rsidRPr="003C6B5F">
        <w:rPr>
          <w:rFonts w:ascii="Arial" w:hAnsi="Arial" w:cs="Arial"/>
          <w:sz w:val="20"/>
          <w:szCs w:val="20"/>
        </w:rPr>
        <w:t>Woomera</w:t>
      </w:r>
      <w:proofErr w:type="spellEnd"/>
      <w:r w:rsidRPr="003C6B5F">
        <w:rPr>
          <w:rFonts w:ascii="Arial" w:hAnsi="Arial" w:cs="Arial"/>
          <w:sz w:val="20"/>
          <w:szCs w:val="20"/>
        </w:rPr>
        <w:t xml:space="preserve"> Immigration Reception and Processing Center” located in the Simpson Desert in Australia: see </w:t>
      </w:r>
      <w:proofErr w:type="spellStart"/>
      <w:r w:rsidRPr="003C6B5F">
        <w:rPr>
          <w:rFonts w:ascii="Arial" w:hAnsi="Arial" w:cs="Arial"/>
          <w:sz w:val="20"/>
          <w:szCs w:val="20"/>
        </w:rPr>
        <w:t>Orford</w:t>
      </w:r>
      <w:proofErr w:type="spellEnd"/>
      <w:r w:rsidRPr="003C6B5F">
        <w:rPr>
          <w:rFonts w:ascii="Arial" w:hAnsi="Arial" w:cs="Arial"/>
          <w:sz w:val="20"/>
          <w:szCs w:val="20"/>
        </w:rPr>
        <w:t>, supra note 5, at 207 and 211.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To use again the categories provided by Northrop Frye and Hayden White. See also Barthes, supra note 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See Klaus </w:t>
      </w:r>
      <w:proofErr w:type="spellStart"/>
      <w:r w:rsidRPr="003C6B5F">
        <w:rPr>
          <w:rFonts w:ascii="Arial" w:hAnsi="Arial" w:cs="Arial"/>
          <w:sz w:val="20"/>
          <w:szCs w:val="20"/>
        </w:rPr>
        <w:t>Günther</w:t>
      </w:r>
      <w:proofErr w:type="spellEnd"/>
      <w:r w:rsidRPr="003C6B5F">
        <w:rPr>
          <w:rFonts w:ascii="Arial" w:hAnsi="Arial" w:cs="Arial"/>
          <w:sz w:val="20"/>
          <w:szCs w:val="20"/>
        </w:rPr>
        <w:t xml:space="preserve">, </w:t>
      </w:r>
      <w:proofErr w:type="spellStart"/>
      <w:r w:rsidRPr="003C6B5F">
        <w:rPr>
          <w:rFonts w:ascii="Arial" w:hAnsi="Arial" w:cs="Arial"/>
          <w:sz w:val="20"/>
          <w:szCs w:val="20"/>
        </w:rPr>
        <w:t>Diskurstheorie</w:t>
      </w:r>
      <w:proofErr w:type="spellEnd"/>
      <w:r w:rsidRPr="003C6B5F">
        <w:rPr>
          <w:rFonts w:ascii="Arial" w:hAnsi="Arial" w:cs="Arial"/>
          <w:sz w:val="20"/>
          <w:szCs w:val="20"/>
        </w:rPr>
        <w:t xml:space="preserve"> des </w:t>
      </w:r>
      <w:proofErr w:type="spellStart"/>
      <w:r w:rsidRPr="003C6B5F">
        <w:rPr>
          <w:rFonts w:ascii="Arial" w:hAnsi="Arial" w:cs="Arial"/>
          <w:sz w:val="20"/>
          <w:szCs w:val="20"/>
        </w:rPr>
        <w:t>Rechts</w:t>
      </w:r>
      <w:proofErr w:type="spellEnd"/>
      <w:r w:rsidRPr="003C6B5F">
        <w:rPr>
          <w:rFonts w:ascii="Arial" w:hAnsi="Arial" w:cs="Arial"/>
          <w:sz w:val="20"/>
          <w:szCs w:val="20"/>
        </w:rPr>
        <w:t xml:space="preserve"> </w:t>
      </w:r>
      <w:proofErr w:type="spellStart"/>
      <w:r w:rsidRPr="003C6B5F">
        <w:rPr>
          <w:rFonts w:ascii="Arial" w:hAnsi="Arial" w:cs="Arial"/>
          <w:sz w:val="20"/>
          <w:szCs w:val="20"/>
        </w:rPr>
        <w:t>oder</w:t>
      </w:r>
      <w:proofErr w:type="spellEnd"/>
      <w:r w:rsidRPr="003C6B5F">
        <w:rPr>
          <w:rFonts w:ascii="Arial" w:hAnsi="Arial" w:cs="Arial"/>
          <w:sz w:val="20"/>
          <w:szCs w:val="20"/>
        </w:rPr>
        <w:t xml:space="preserve"> </w:t>
      </w:r>
      <w:proofErr w:type="spellStart"/>
      <w:r w:rsidRPr="003C6B5F">
        <w:rPr>
          <w:rFonts w:ascii="Arial" w:hAnsi="Arial" w:cs="Arial"/>
          <w:sz w:val="20"/>
          <w:szCs w:val="20"/>
        </w:rPr>
        <w:t>Naturrecht</w:t>
      </w:r>
      <w:proofErr w:type="spellEnd"/>
      <w:r w:rsidRPr="003C6B5F">
        <w:rPr>
          <w:rFonts w:ascii="Arial" w:hAnsi="Arial" w:cs="Arial"/>
          <w:sz w:val="20"/>
          <w:szCs w:val="20"/>
        </w:rPr>
        <w:t xml:space="preserve"> in </w:t>
      </w:r>
      <w:proofErr w:type="spellStart"/>
      <w:r w:rsidRPr="003C6B5F">
        <w:rPr>
          <w:rFonts w:ascii="Arial" w:hAnsi="Arial" w:cs="Arial"/>
          <w:sz w:val="20"/>
          <w:szCs w:val="20"/>
        </w:rPr>
        <w:t>diskurstheoretischem</w:t>
      </w:r>
      <w:proofErr w:type="spellEnd"/>
      <w:r w:rsidRPr="003C6B5F">
        <w:rPr>
          <w:rFonts w:ascii="Arial" w:hAnsi="Arial" w:cs="Arial"/>
          <w:sz w:val="20"/>
          <w:szCs w:val="20"/>
        </w:rPr>
        <w:t xml:space="preserve"> </w:t>
      </w:r>
      <w:proofErr w:type="spellStart"/>
      <w:r w:rsidRPr="003C6B5F">
        <w:rPr>
          <w:rFonts w:ascii="Arial" w:hAnsi="Arial" w:cs="Arial"/>
          <w:sz w:val="20"/>
          <w:szCs w:val="20"/>
        </w:rPr>
        <w:t>Gewande</w:t>
      </w:r>
      <w:proofErr w:type="spellEnd"/>
      <w:proofErr w:type="gramStart"/>
      <w:r w:rsidRPr="003C6B5F">
        <w:rPr>
          <w:rFonts w:ascii="Arial" w:hAnsi="Arial" w:cs="Arial"/>
          <w:sz w:val="20"/>
          <w:szCs w:val="20"/>
        </w:rPr>
        <w:t>?,</w:t>
      </w:r>
      <w:proofErr w:type="gramEnd"/>
      <w:r w:rsidRPr="003C6B5F">
        <w:rPr>
          <w:rFonts w:ascii="Arial" w:hAnsi="Arial" w:cs="Arial"/>
          <w:sz w:val="20"/>
          <w:szCs w:val="20"/>
        </w:rPr>
        <w:t xml:space="preserve"> 4 </w:t>
      </w:r>
      <w:proofErr w:type="spellStart"/>
      <w:r w:rsidRPr="003C6B5F">
        <w:rPr>
          <w:rFonts w:ascii="Arial" w:hAnsi="Arial" w:cs="Arial"/>
          <w:sz w:val="20"/>
          <w:szCs w:val="20"/>
        </w:rPr>
        <w:t>Kritische</w:t>
      </w:r>
      <w:proofErr w:type="spellEnd"/>
      <w:r w:rsidRPr="003C6B5F">
        <w:rPr>
          <w:rFonts w:ascii="Arial" w:hAnsi="Arial" w:cs="Arial"/>
          <w:sz w:val="20"/>
          <w:szCs w:val="20"/>
        </w:rPr>
        <w:t xml:space="preserve"> </w:t>
      </w:r>
      <w:proofErr w:type="spellStart"/>
      <w:r w:rsidRPr="003C6B5F">
        <w:rPr>
          <w:rFonts w:ascii="Arial" w:hAnsi="Arial" w:cs="Arial"/>
          <w:sz w:val="20"/>
          <w:szCs w:val="20"/>
        </w:rPr>
        <w:t>Justiz</w:t>
      </w:r>
      <w:proofErr w:type="spellEnd"/>
      <w:r w:rsidRPr="003C6B5F">
        <w:rPr>
          <w:rFonts w:ascii="Arial" w:hAnsi="Arial" w:cs="Arial"/>
          <w:sz w:val="20"/>
          <w:szCs w:val="20"/>
        </w:rPr>
        <w:t xml:space="preserve"> 470 (1994).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Frédéric</w:t>
      </w:r>
      <w:proofErr w:type="spellEnd"/>
      <w:r w:rsidRPr="003C6B5F">
        <w:rPr>
          <w:rFonts w:ascii="Arial" w:hAnsi="Arial" w:cs="Arial"/>
          <w:sz w:val="20"/>
          <w:szCs w:val="20"/>
        </w:rPr>
        <w:t xml:space="preserve"> </w:t>
      </w:r>
      <w:proofErr w:type="spellStart"/>
      <w:r w:rsidRPr="003C6B5F">
        <w:rPr>
          <w:rFonts w:ascii="Arial" w:hAnsi="Arial" w:cs="Arial"/>
          <w:sz w:val="20"/>
          <w:szCs w:val="20"/>
        </w:rPr>
        <w:t>Mégret</w:t>
      </w:r>
      <w:proofErr w:type="spellEnd"/>
      <w:r w:rsidRPr="003C6B5F">
        <w:rPr>
          <w:rFonts w:ascii="Arial" w:hAnsi="Arial" w:cs="Arial"/>
          <w:sz w:val="20"/>
          <w:szCs w:val="20"/>
        </w:rPr>
        <w:t xml:space="preserve">, That </w:t>
      </w:r>
      <w:proofErr w:type="spellStart"/>
      <w:r w:rsidRPr="003C6B5F">
        <w:rPr>
          <w:rFonts w:ascii="Arial" w:hAnsi="Arial" w:cs="Arial"/>
          <w:sz w:val="20"/>
          <w:szCs w:val="20"/>
        </w:rPr>
        <w:t>Springbreak</w:t>
      </w:r>
      <w:proofErr w:type="spellEnd"/>
      <w:r w:rsidRPr="003C6B5F">
        <w:rPr>
          <w:rFonts w:ascii="Arial" w:hAnsi="Arial" w:cs="Arial"/>
          <w:sz w:val="20"/>
          <w:szCs w:val="20"/>
        </w:rPr>
        <w:t xml:space="preserve"> Feeling. </w:t>
      </w:r>
      <w:proofErr w:type="gramStart"/>
      <w:r w:rsidRPr="003C6B5F">
        <w:rPr>
          <w:rFonts w:ascii="Arial" w:hAnsi="Arial" w:cs="Arial"/>
          <w:sz w:val="20"/>
          <w:szCs w:val="20"/>
        </w:rPr>
        <w:t>Pragmatism, Irony and Belief in the Age of Human Rights (unpublished paper, on file with the author).</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On the basis of her quantitative study, Oona Hathaway concludes that despite the progressive ratification of human rights treaties (and increased human rights advocacy by NGOs) violations appear to have increased. Non-compliance with treaty obligations (except for the Genocide Convention) appears to be common and not infrequently treaty ratification is associated with worse practices, in particular due to weakly enforced and/or monitored human rights. See Oona Hathaway, Do Human Rights Treaties Make a Difference</w:t>
      </w:r>
      <w:proofErr w:type="gramStart"/>
      <w:r w:rsidRPr="003C6B5F">
        <w:rPr>
          <w:rFonts w:ascii="Arial" w:hAnsi="Arial" w:cs="Arial"/>
          <w:sz w:val="20"/>
          <w:szCs w:val="20"/>
        </w:rPr>
        <w:t>?,</w:t>
      </w:r>
      <w:proofErr w:type="gramEnd"/>
      <w:r w:rsidRPr="003C6B5F">
        <w:rPr>
          <w:rFonts w:ascii="Arial" w:hAnsi="Arial" w:cs="Arial"/>
          <w:sz w:val="20"/>
          <w:szCs w:val="20"/>
        </w:rPr>
        <w:t xml:space="preserve"> 111 Yale L. J. 1870 (2002).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SeeDavid</w:t>
      </w:r>
      <w:proofErr w:type="spellEnd"/>
      <w:r w:rsidRPr="003C6B5F">
        <w:rPr>
          <w:rFonts w:ascii="Arial" w:hAnsi="Arial" w:cs="Arial"/>
          <w:sz w:val="20"/>
          <w:szCs w:val="20"/>
        </w:rPr>
        <w:t xml:space="preserve"> Kennedy, </w:t>
      </w:r>
      <w:proofErr w:type="gramStart"/>
      <w:r w:rsidRPr="003C6B5F">
        <w:rPr>
          <w:rFonts w:ascii="Arial" w:hAnsi="Arial" w:cs="Arial"/>
          <w:sz w:val="20"/>
          <w:szCs w:val="20"/>
        </w:rPr>
        <w:t>The</w:t>
      </w:r>
      <w:proofErr w:type="gramEnd"/>
      <w:r w:rsidRPr="003C6B5F">
        <w:rPr>
          <w:rFonts w:ascii="Arial" w:hAnsi="Arial" w:cs="Arial"/>
          <w:sz w:val="20"/>
          <w:szCs w:val="20"/>
        </w:rPr>
        <w:t xml:space="preserve"> Dark Sides of Virtue. </w:t>
      </w:r>
      <w:proofErr w:type="gramStart"/>
      <w:r w:rsidRPr="003C6B5F">
        <w:rPr>
          <w:rFonts w:ascii="Arial" w:hAnsi="Arial" w:cs="Arial"/>
          <w:sz w:val="20"/>
          <w:szCs w:val="20"/>
        </w:rPr>
        <w:t>Reassessing International Humanitarianism (2004).</w:t>
      </w:r>
      <w:proofErr w:type="gramEnd"/>
      <w:r w:rsidRPr="003C6B5F">
        <w:rPr>
          <w:rFonts w:ascii="Arial" w:hAnsi="Arial" w:cs="Arial"/>
          <w:sz w:val="20"/>
          <w:szCs w:val="20"/>
        </w:rPr>
        <w:t xml:space="preserve"> “Perhaps ambivalent porosity [of human rights—G.F.] is their secret strength.” David Kennedy, The International Human Rights Movement: Part of the Problem</w:t>
      </w:r>
      <w:proofErr w:type="gramStart"/>
      <w:r w:rsidRPr="003C6B5F">
        <w:rPr>
          <w:rFonts w:ascii="Arial" w:hAnsi="Arial" w:cs="Arial"/>
          <w:sz w:val="20"/>
          <w:szCs w:val="20"/>
        </w:rPr>
        <w:t>?,</w:t>
      </w:r>
      <w:proofErr w:type="gramEnd"/>
      <w:r w:rsidRPr="003C6B5F">
        <w:rPr>
          <w:rFonts w:ascii="Arial" w:hAnsi="Arial" w:cs="Arial"/>
          <w:sz w:val="20"/>
          <w:szCs w:val="20"/>
        </w:rPr>
        <w:t xml:space="preserve"> 15 </w:t>
      </w:r>
      <w:proofErr w:type="spellStart"/>
      <w:r w:rsidRPr="003C6B5F">
        <w:rPr>
          <w:rFonts w:ascii="Arial" w:hAnsi="Arial" w:cs="Arial"/>
          <w:sz w:val="20"/>
          <w:szCs w:val="20"/>
        </w:rPr>
        <w:t>Harv</w:t>
      </w:r>
      <w:proofErr w:type="spellEnd"/>
      <w:r w:rsidRPr="003C6B5F">
        <w:rPr>
          <w:rFonts w:ascii="Arial" w:hAnsi="Arial" w:cs="Arial"/>
          <w:sz w:val="20"/>
          <w:szCs w:val="20"/>
        </w:rPr>
        <w:t xml:space="preserve">. Hum. </w:t>
      </w:r>
      <w:proofErr w:type="spellStart"/>
      <w:proofErr w:type="gramStart"/>
      <w:r w:rsidRPr="003C6B5F">
        <w:rPr>
          <w:rFonts w:ascii="Arial" w:hAnsi="Arial" w:cs="Arial"/>
          <w:sz w:val="20"/>
          <w:szCs w:val="20"/>
        </w:rPr>
        <w:t>Rts</w:t>
      </w:r>
      <w:proofErr w:type="spellEnd"/>
      <w:r w:rsidRPr="003C6B5F">
        <w:rPr>
          <w:rFonts w:ascii="Arial" w:hAnsi="Arial" w:cs="Arial"/>
          <w:sz w:val="20"/>
          <w:szCs w:val="20"/>
        </w:rPr>
        <w:t xml:space="preserve"> J. 101, 106 (2002).</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Martti</w:t>
      </w:r>
      <w:proofErr w:type="spellEnd"/>
      <w:r w:rsidRPr="003C6B5F">
        <w:rPr>
          <w:rFonts w:ascii="Arial" w:hAnsi="Arial" w:cs="Arial"/>
          <w:sz w:val="20"/>
          <w:szCs w:val="20"/>
        </w:rPr>
        <w:t xml:space="preserve"> </w:t>
      </w:r>
      <w:proofErr w:type="spellStart"/>
      <w:r w:rsidRPr="003C6B5F">
        <w:rPr>
          <w:rFonts w:ascii="Arial" w:hAnsi="Arial" w:cs="Arial"/>
          <w:sz w:val="20"/>
          <w:szCs w:val="20"/>
        </w:rPr>
        <w:t>Koskenniemi</w:t>
      </w:r>
      <w:proofErr w:type="spellEnd"/>
      <w:r w:rsidRPr="003C6B5F">
        <w:rPr>
          <w:rFonts w:ascii="Arial" w:hAnsi="Arial" w:cs="Arial"/>
          <w:sz w:val="20"/>
          <w:szCs w:val="20"/>
        </w:rPr>
        <w:t xml:space="preserve">, supra note 8; Kennedy, supra note 15; and Günter Frankenberg, </w:t>
      </w:r>
      <w:proofErr w:type="spellStart"/>
      <w:r w:rsidRPr="003C6B5F">
        <w:rPr>
          <w:rFonts w:ascii="Arial" w:hAnsi="Arial" w:cs="Arial"/>
          <w:sz w:val="20"/>
          <w:szCs w:val="20"/>
        </w:rPr>
        <w:t>Ambivalenzen</w:t>
      </w:r>
      <w:proofErr w:type="spellEnd"/>
      <w:r w:rsidRPr="003C6B5F">
        <w:rPr>
          <w:rFonts w:ascii="Arial" w:hAnsi="Arial" w:cs="Arial"/>
          <w:sz w:val="20"/>
          <w:szCs w:val="20"/>
        </w:rPr>
        <w:t xml:space="preserve"> </w:t>
      </w:r>
      <w:proofErr w:type="spellStart"/>
      <w:r w:rsidRPr="003C6B5F">
        <w:rPr>
          <w:rFonts w:ascii="Arial" w:hAnsi="Arial" w:cs="Arial"/>
          <w:sz w:val="20"/>
          <w:szCs w:val="20"/>
        </w:rPr>
        <w:t>zivilgesellschaftlicher</w:t>
      </w:r>
      <w:proofErr w:type="spellEnd"/>
      <w:r w:rsidRPr="003C6B5F">
        <w:rPr>
          <w:rFonts w:ascii="Arial" w:hAnsi="Arial" w:cs="Arial"/>
          <w:sz w:val="20"/>
          <w:szCs w:val="20"/>
        </w:rPr>
        <w:t xml:space="preserve"> Praxis, 1 </w:t>
      </w:r>
      <w:proofErr w:type="spellStart"/>
      <w:r w:rsidRPr="003C6B5F">
        <w:rPr>
          <w:rFonts w:ascii="Arial" w:hAnsi="Arial" w:cs="Arial"/>
          <w:sz w:val="20"/>
          <w:szCs w:val="20"/>
        </w:rPr>
        <w:t>Kritische</w:t>
      </w:r>
      <w:proofErr w:type="spellEnd"/>
      <w:r w:rsidRPr="003C6B5F">
        <w:rPr>
          <w:rFonts w:ascii="Arial" w:hAnsi="Arial" w:cs="Arial"/>
          <w:sz w:val="20"/>
          <w:szCs w:val="20"/>
        </w:rPr>
        <w:t xml:space="preserve"> </w:t>
      </w:r>
      <w:proofErr w:type="spellStart"/>
      <w:r w:rsidRPr="003C6B5F">
        <w:rPr>
          <w:rFonts w:ascii="Arial" w:hAnsi="Arial" w:cs="Arial"/>
          <w:sz w:val="20"/>
          <w:szCs w:val="20"/>
        </w:rPr>
        <w:t>Justiz</w:t>
      </w:r>
      <w:proofErr w:type="spellEnd"/>
      <w:r w:rsidRPr="003C6B5F">
        <w:rPr>
          <w:rFonts w:ascii="Arial" w:hAnsi="Arial" w:cs="Arial"/>
          <w:sz w:val="20"/>
          <w:szCs w:val="20"/>
        </w:rPr>
        <w:t xml:space="preserve"> 21 (2004). For other skeptical views, </w:t>
      </w:r>
      <w:proofErr w:type="spellStart"/>
      <w:r w:rsidRPr="003C6B5F">
        <w:rPr>
          <w:rFonts w:ascii="Arial" w:hAnsi="Arial" w:cs="Arial"/>
          <w:sz w:val="20"/>
          <w:szCs w:val="20"/>
        </w:rPr>
        <w:t>seeSceptical</w:t>
      </w:r>
      <w:proofErr w:type="spellEnd"/>
      <w:r w:rsidRPr="003C6B5F">
        <w:rPr>
          <w:rFonts w:ascii="Arial" w:hAnsi="Arial" w:cs="Arial"/>
          <w:sz w:val="20"/>
          <w:szCs w:val="20"/>
        </w:rPr>
        <w:t xml:space="preserve"> Essays on Human Rights (Tom Campbell, K.D. Ewing, &amp; Adam Tomkins eds., 2001).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Anne </w:t>
      </w:r>
      <w:proofErr w:type="spellStart"/>
      <w:r w:rsidRPr="003C6B5F">
        <w:rPr>
          <w:rFonts w:ascii="Arial" w:hAnsi="Arial" w:cs="Arial"/>
          <w:sz w:val="20"/>
          <w:szCs w:val="20"/>
        </w:rPr>
        <w:t>Orford</w:t>
      </w:r>
      <w:proofErr w:type="spellEnd"/>
      <w:r w:rsidRPr="003C6B5F">
        <w:rPr>
          <w:rFonts w:ascii="Arial" w:hAnsi="Arial" w:cs="Arial"/>
          <w:sz w:val="20"/>
          <w:szCs w:val="20"/>
        </w:rPr>
        <w:t xml:space="preserve"> suggested this reading of my arguments here.</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For a brief discussion of the meanings of “narrative,” </w:t>
      </w:r>
      <w:proofErr w:type="spellStart"/>
      <w:r w:rsidRPr="003C6B5F">
        <w:rPr>
          <w:rFonts w:ascii="Arial" w:hAnsi="Arial" w:cs="Arial"/>
          <w:sz w:val="20"/>
          <w:szCs w:val="20"/>
        </w:rPr>
        <w:t>seeOswald</w:t>
      </w:r>
      <w:proofErr w:type="spellEnd"/>
      <w:r w:rsidRPr="003C6B5F">
        <w:rPr>
          <w:rFonts w:ascii="Arial" w:hAnsi="Arial" w:cs="Arial"/>
          <w:sz w:val="20"/>
          <w:szCs w:val="20"/>
        </w:rPr>
        <w:t xml:space="preserve"> </w:t>
      </w:r>
      <w:proofErr w:type="spellStart"/>
      <w:r w:rsidRPr="003C6B5F">
        <w:rPr>
          <w:rFonts w:ascii="Arial" w:hAnsi="Arial" w:cs="Arial"/>
          <w:sz w:val="20"/>
          <w:szCs w:val="20"/>
        </w:rPr>
        <w:t>Ducrot</w:t>
      </w:r>
      <w:proofErr w:type="spellEnd"/>
      <w:r w:rsidRPr="003C6B5F">
        <w:rPr>
          <w:rFonts w:ascii="Arial" w:hAnsi="Arial" w:cs="Arial"/>
          <w:sz w:val="20"/>
          <w:szCs w:val="20"/>
        </w:rPr>
        <w:t xml:space="preserve"> &amp; </w:t>
      </w:r>
      <w:proofErr w:type="spellStart"/>
      <w:r w:rsidRPr="003C6B5F">
        <w:rPr>
          <w:rFonts w:ascii="Arial" w:hAnsi="Arial" w:cs="Arial"/>
          <w:sz w:val="20"/>
          <w:szCs w:val="20"/>
        </w:rPr>
        <w:t>Tzvetan</w:t>
      </w:r>
      <w:proofErr w:type="spellEnd"/>
      <w:r w:rsidRPr="003C6B5F">
        <w:rPr>
          <w:rFonts w:ascii="Arial" w:hAnsi="Arial" w:cs="Arial"/>
          <w:sz w:val="20"/>
          <w:szCs w:val="20"/>
        </w:rPr>
        <w:t xml:space="preserve"> </w:t>
      </w:r>
      <w:proofErr w:type="spellStart"/>
      <w:r w:rsidRPr="003C6B5F">
        <w:rPr>
          <w:rFonts w:ascii="Arial" w:hAnsi="Arial" w:cs="Arial"/>
          <w:sz w:val="20"/>
          <w:szCs w:val="20"/>
        </w:rPr>
        <w:t>Todorov</w:t>
      </w:r>
      <w:proofErr w:type="spellEnd"/>
      <w:r w:rsidRPr="003C6B5F">
        <w:rPr>
          <w:rFonts w:ascii="Arial" w:hAnsi="Arial" w:cs="Arial"/>
          <w:sz w:val="20"/>
          <w:szCs w:val="20"/>
        </w:rPr>
        <w:t>, Encyclopedic Dictionary of the Sciences of Language 297–299 (1983).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See Daniel C. Dennett, The Self as Center of Narrative Gravity, </w:t>
      </w:r>
      <w:proofErr w:type="spellStart"/>
      <w:r w:rsidRPr="003C6B5F">
        <w:rPr>
          <w:rFonts w:ascii="Arial" w:hAnsi="Arial" w:cs="Arial"/>
          <w:sz w:val="20"/>
          <w:szCs w:val="20"/>
        </w:rPr>
        <w:t>inSelf</w:t>
      </w:r>
      <w:proofErr w:type="spellEnd"/>
      <w:r w:rsidRPr="003C6B5F">
        <w:rPr>
          <w:rFonts w:ascii="Arial" w:hAnsi="Arial" w:cs="Arial"/>
          <w:sz w:val="20"/>
          <w:szCs w:val="20"/>
        </w:rPr>
        <w:t xml:space="preserve"> and Consciousness: Multiple Perspectives 103 (Frank Kessel, Pamela Cole &amp; Dale M. Johnson eds., 1992).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Concerning the intense and controversial debate about narrative and </w:t>
      </w:r>
      <w:proofErr w:type="spellStart"/>
      <w:r w:rsidRPr="003C6B5F">
        <w:rPr>
          <w:rFonts w:ascii="Arial" w:hAnsi="Arial" w:cs="Arial"/>
          <w:sz w:val="20"/>
          <w:szCs w:val="20"/>
        </w:rPr>
        <w:t>narrativity</w:t>
      </w:r>
      <w:proofErr w:type="spellEnd"/>
      <w:r w:rsidRPr="003C6B5F">
        <w:rPr>
          <w:rFonts w:ascii="Arial" w:hAnsi="Arial" w:cs="Arial"/>
          <w:sz w:val="20"/>
          <w:szCs w:val="20"/>
        </w:rPr>
        <w:t xml:space="preserve">, see </w:t>
      </w:r>
      <w:proofErr w:type="spellStart"/>
      <w:r w:rsidRPr="003C6B5F">
        <w:rPr>
          <w:rFonts w:ascii="Arial" w:hAnsi="Arial" w:cs="Arial"/>
          <w:sz w:val="20"/>
          <w:szCs w:val="20"/>
        </w:rPr>
        <w:t>onlyClaude</w:t>
      </w:r>
      <w:proofErr w:type="spellEnd"/>
      <w:r w:rsidRPr="003C6B5F">
        <w:rPr>
          <w:rFonts w:ascii="Arial" w:hAnsi="Arial" w:cs="Arial"/>
          <w:sz w:val="20"/>
          <w:szCs w:val="20"/>
        </w:rPr>
        <w:t xml:space="preserve"> Lévi-Strauss, The Savage Mind (1966); Georg </w:t>
      </w:r>
      <w:proofErr w:type="spellStart"/>
      <w:r w:rsidRPr="003C6B5F">
        <w:rPr>
          <w:rFonts w:ascii="Arial" w:hAnsi="Arial" w:cs="Arial"/>
          <w:sz w:val="20"/>
          <w:szCs w:val="20"/>
        </w:rPr>
        <w:t>Lukács</w:t>
      </w:r>
      <w:proofErr w:type="spellEnd"/>
      <w:r w:rsidRPr="003C6B5F">
        <w:rPr>
          <w:rFonts w:ascii="Arial" w:hAnsi="Arial" w:cs="Arial"/>
          <w:sz w:val="20"/>
          <w:szCs w:val="20"/>
        </w:rPr>
        <w:t xml:space="preserve">, Narrate or Describe, </w:t>
      </w:r>
      <w:proofErr w:type="spellStart"/>
      <w:r w:rsidRPr="003C6B5F">
        <w:rPr>
          <w:rFonts w:ascii="Arial" w:hAnsi="Arial" w:cs="Arial"/>
          <w:sz w:val="20"/>
          <w:szCs w:val="20"/>
        </w:rPr>
        <w:t>inGeorg</w:t>
      </w:r>
      <w:proofErr w:type="spellEnd"/>
      <w:r w:rsidRPr="003C6B5F">
        <w:rPr>
          <w:rFonts w:ascii="Arial" w:hAnsi="Arial" w:cs="Arial"/>
          <w:sz w:val="20"/>
          <w:szCs w:val="20"/>
        </w:rPr>
        <w:t xml:space="preserve"> </w:t>
      </w:r>
      <w:proofErr w:type="spellStart"/>
      <w:r w:rsidRPr="003C6B5F">
        <w:rPr>
          <w:rFonts w:ascii="Arial" w:hAnsi="Arial" w:cs="Arial"/>
          <w:sz w:val="20"/>
          <w:szCs w:val="20"/>
        </w:rPr>
        <w:t>Lukács</w:t>
      </w:r>
      <w:proofErr w:type="spellEnd"/>
      <w:r w:rsidRPr="003C6B5F">
        <w:rPr>
          <w:rFonts w:ascii="Arial" w:hAnsi="Arial" w:cs="Arial"/>
          <w:sz w:val="20"/>
          <w:szCs w:val="20"/>
        </w:rPr>
        <w:t xml:space="preserve">, Writer and Critic and Other Essays 110 (2005); Paul Ricœur, Narrative Time, 7 Critical Inquiry 169 (1980). For a critical view of Ricœur, </w:t>
      </w:r>
      <w:proofErr w:type="spellStart"/>
      <w:r w:rsidRPr="003C6B5F">
        <w:rPr>
          <w:rFonts w:ascii="Arial" w:hAnsi="Arial" w:cs="Arial"/>
          <w:sz w:val="20"/>
          <w:szCs w:val="20"/>
        </w:rPr>
        <w:t>seeKurt</w:t>
      </w:r>
      <w:proofErr w:type="spellEnd"/>
      <w:r w:rsidRPr="003C6B5F">
        <w:rPr>
          <w:rFonts w:ascii="Arial" w:hAnsi="Arial" w:cs="Arial"/>
          <w:sz w:val="20"/>
          <w:szCs w:val="20"/>
        </w:rPr>
        <w:t xml:space="preserve"> </w:t>
      </w:r>
      <w:proofErr w:type="spellStart"/>
      <w:r w:rsidRPr="003C6B5F">
        <w:rPr>
          <w:rFonts w:ascii="Arial" w:hAnsi="Arial" w:cs="Arial"/>
          <w:sz w:val="20"/>
          <w:szCs w:val="20"/>
        </w:rPr>
        <w:t>Hübner</w:t>
      </w:r>
      <w:proofErr w:type="spellEnd"/>
      <w:r w:rsidRPr="003C6B5F">
        <w:rPr>
          <w:rFonts w:ascii="Arial" w:hAnsi="Arial" w:cs="Arial"/>
          <w:sz w:val="20"/>
          <w:szCs w:val="20"/>
        </w:rPr>
        <w:t xml:space="preserve">, Die </w:t>
      </w:r>
      <w:proofErr w:type="spellStart"/>
      <w:r w:rsidRPr="003C6B5F">
        <w:rPr>
          <w:rFonts w:ascii="Arial" w:hAnsi="Arial" w:cs="Arial"/>
          <w:sz w:val="20"/>
          <w:szCs w:val="20"/>
        </w:rPr>
        <w:t>Wahrheit</w:t>
      </w:r>
      <w:proofErr w:type="spellEnd"/>
      <w:r w:rsidRPr="003C6B5F">
        <w:rPr>
          <w:rFonts w:ascii="Arial" w:hAnsi="Arial" w:cs="Arial"/>
          <w:sz w:val="20"/>
          <w:szCs w:val="20"/>
        </w:rPr>
        <w:t xml:space="preserve"> des Mythos 357 et seq. (1985).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 xml:space="preserve">Hayden White, </w:t>
      </w:r>
      <w:proofErr w:type="spellStart"/>
      <w:r w:rsidRPr="003C6B5F">
        <w:rPr>
          <w:rFonts w:ascii="Arial" w:hAnsi="Arial" w:cs="Arial"/>
          <w:sz w:val="20"/>
          <w:szCs w:val="20"/>
        </w:rPr>
        <w:t>Narrativity</w:t>
      </w:r>
      <w:proofErr w:type="spellEnd"/>
      <w:r w:rsidRPr="003C6B5F">
        <w:rPr>
          <w:rFonts w:ascii="Arial" w:hAnsi="Arial" w:cs="Arial"/>
          <w:sz w:val="20"/>
          <w:szCs w:val="20"/>
        </w:rPr>
        <w:t xml:space="preserve"> in the Representation of Reality, </w:t>
      </w:r>
      <w:proofErr w:type="spellStart"/>
      <w:r w:rsidRPr="003C6B5F">
        <w:rPr>
          <w:rFonts w:ascii="Arial" w:hAnsi="Arial" w:cs="Arial"/>
          <w:sz w:val="20"/>
          <w:szCs w:val="20"/>
        </w:rPr>
        <w:t>inHayden</w:t>
      </w:r>
      <w:proofErr w:type="spellEnd"/>
      <w:r w:rsidRPr="003C6B5F">
        <w:rPr>
          <w:rFonts w:ascii="Arial" w:hAnsi="Arial" w:cs="Arial"/>
          <w:sz w:val="20"/>
          <w:szCs w:val="20"/>
        </w:rPr>
        <w:t xml:space="preserve"> White, The Content of the Form.</w:t>
      </w:r>
      <w:proofErr w:type="gramEnd"/>
      <w:r w:rsidRPr="003C6B5F">
        <w:rPr>
          <w:rFonts w:ascii="Arial" w:hAnsi="Arial" w:cs="Arial"/>
          <w:sz w:val="20"/>
          <w:szCs w:val="20"/>
        </w:rPr>
        <w:t xml:space="preserve"> </w:t>
      </w:r>
      <w:proofErr w:type="gramStart"/>
      <w:r w:rsidRPr="003C6B5F">
        <w:rPr>
          <w:rFonts w:ascii="Arial" w:hAnsi="Arial" w:cs="Arial"/>
          <w:sz w:val="20"/>
          <w:szCs w:val="20"/>
        </w:rPr>
        <w:t>Narrative Discourse and Historical Representation 1, at 2 and 21 (1990).</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White, supra note 21, 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According to </w:t>
      </w:r>
      <w:proofErr w:type="spellStart"/>
      <w:r w:rsidRPr="003C6B5F">
        <w:rPr>
          <w:rFonts w:ascii="Arial" w:hAnsi="Arial" w:cs="Arial"/>
          <w:sz w:val="20"/>
          <w:szCs w:val="20"/>
        </w:rPr>
        <w:t>Cathérine</w:t>
      </w:r>
      <w:proofErr w:type="spellEnd"/>
      <w:r w:rsidRPr="003C6B5F">
        <w:rPr>
          <w:rFonts w:ascii="Arial" w:hAnsi="Arial" w:cs="Arial"/>
          <w:sz w:val="20"/>
          <w:szCs w:val="20"/>
        </w:rPr>
        <w:t xml:space="preserve"> </w:t>
      </w:r>
      <w:proofErr w:type="spellStart"/>
      <w:r w:rsidRPr="003C6B5F">
        <w:rPr>
          <w:rFonts w:ascii="Arial" w:hAnsi="Arial" w:cs="Arial"/>
          <w:sz w:val="20"/>
          <w:szCs w:val="20"/>
        </w:rPr>
        <w:t>Dupré</w:t>
      </w:r>
      <w:proofErr w:type="spellEnd"/>
      <w:r w:rsidRPr="003C6B5F">
        <w:rPr>
          <w:rFonts w:ascii="Arial" w:hAnsi="Arial" w:cs="Arial"/>
          <w:sz w:val="20"/>
          <w:szCs w:val="20"/>
        </w:rPr>
        <w:t>, human rights narratives may have reached the limits of the language they invented, as we are running out of stories to tell about human rights victims and violators.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See, generally, Richard Weisberg, The Failure of the Word (1984); and Law’s Stories. Narrative and Rhetoric in the Law (Peter Brooks &amp; Paul </w:t>
      </w:r>
      <w:proofErr w:type="spellStart"/>
      <w:r w:rsidRPr="003C6B5F">
        <w:rPr>
          <w:rFonts w:ascii="Arial" w:hAnsi="Arial" w:cs="Arial"/>
          <w:sz w:val="20"/>
          <w:szCs w:val="20"/>
        </w:rPr>
        <w:t>Gewirtz</w:t>
      </w:r>
      <w:proofErr w:type="spellEnd"/>
      <w:r w:rsidRPr="003C6B5F">
        <w:rPr>
          <w:rFonts w:ascii="Arial" w:hAnsi="Arial" w:cs="Arial"/>
          <w:sz w:val="20"/>
          <w:szCs w:val="20"/>
        </w:rPr>
        <w:t xml:space="preserve"> eds., 1996); Gerald Lopez, Lay Lawyering, 31 U.C.L.A. L. Rev. 1 (1984) introduces story-telling as an element of human problem-solving by lawyers. In her autobiographical essay The Alchemy of Race and Rights (1991), Patricia Williams presents, in a narrative style, the intersection of race, gender, and class. </w:t>
      </w:r>
      <w:proofErr w:type="spellStart"/>
      <w:r w:rsidRPr="003C6B5F">
        <w:rPr>
          <w:rFonts w:ascii="Arial" w:hAnsi="Arial" w:cs="Arial"/>
          <w:sz w:val="20"/>
          <w:szCs w:val="20"/>
        </w:rPr>
        <w:t>Outi</w:t>
      </w:r>
      <w:proofErr w:type="spellEnd"/>
      <w:r w:rsidRPr="003C6B5F">
        <w:rPr>
          <w:rFonts w:ascii="Arial" w:hAnsi="Arial" w:cs="Arial"/>
          <w:sz w:val="20"/>
          <w:szCs w:val="20"/>
        </w:rPr>
        <w:t xml:space="preserve"> </w:t>
      </w:r>
      <w:proofErr w:type="spellStart"/>
      <w:r w:rsidRPr="003C6B5F">
        <w:rPr>
          <w:rFonts w:ascii="Arial" w:hAnsi="Arial" w:cs="Arial"/>
          <w:sz w:val="20"/>
          <w:szCs w:val="20"/>
        </w:rPr>
        <w:t>Korhonen</w:t>
      </w:r>
      <w:proofErr w:type="spellEnd"/>
      <w:r w:rsidRPr="003C6B5F">
        <w:rPr>
          <w:rFonts w:ascii="Arial" w:hAnsi="Arial" w:cs="Arial"/>
          <w:sz w:val="20"/>
          <w:szCs w:val="20"/>
        </w:rPr>
        <w:t xml:space="preserve">, International Law Situated (2000) introduces legal </w:t>
      </w:r>
      <w:proofErr w:type="spellStart"/>
      <w:r w:rsidRPr="003C6B5F">
        <w:rPr>
          <w:rFonts w:ascii="Arial" w:hAnsi="Arial" w:cs="Arial"/>
          <w:sz w:val="20"/>
          <w:szCs w:val="20"/>
        </w:rPr>
        <w:t>narrativization</w:t>
      </w:r>
      <w:proofErr w:type="spellEnd"/>
      <w:r w:rsidRPr="003C6B5F">
        <w:rPr>
          <w:rFonts w:ascii="Arial" w:hAnsi="Arial" w:cs="Arial"/>
          <w:sz w:val="20"/>
          <w:szCs w:val="20"/>
        </w:rPr>
        <w:t xml:space="preserve"> into her analysis of the situation of the international lawyer. David Kennedy, supra note 3, uses a distinctly and provocatively narrative style in The Dark Sides of Virtue (particularly: the chapters “Spring Break” and “Autumn Weekend”). See also Hilary Charlesworth, </w:t>
      </w:r>
      <w:r w:rsidRPr="003C6B5F">
        <w:rPr>
          <w:rFonts w:ascii="Arial" w:hAnsi="Arial" w:cs="Arial"/>
          <w:sz w:val="20"/>
          <w:szCs w:val="20"/>
        </w:rPr>
        <w:lastRenderedPageBreak/>
        <w:t>Feminist Methods in International Law, 93 Am. J. Int’l L. 379, 381 (1999), exploring the “silences of international law.”</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Peter Brooks, The Law as Narrative and </w:t>
      </w:r>
      <w:proofErr w:type="spellStart"/>
      <w:r w:rsidRPr="003C6B5F">
        <w:rPr>
          <w:rFonts w:ascii="Arial" w:hAnsi="Arial" w:cs="Arial"/>
          <w:sz w:val="20"/>
          <w:szCs w:val="20"/>
        </w:rPr>
        <w:t>Rhetoric</w:t>
      </w:r>
      <w:proofErr w:type="gramStart"/>
      <w:r w:rsidRPr="003C6B5F">
        <w:rPr>
          <w:rFonts w:ascii="Arial" w:hAnsi="Arial" w:cs="Arial"/>
          <w:sz w:val="20"/>
          <w:szCs w:val="20"/>
        </w:rPr>
        <w:t>,inLaw’s</w:t>
      </w:r>
      <w:proofErr w:type="spellEnd"/>
      <w:proofErr w:type="gramEnd"/>
      <w:r w:rsidRPr="003C6B5F">
        <w:rPr>
          <w:rFonts w:ascii="Arial" w:hAnsi="Arial" w:cs="Arial"/>
          <w:sz w:val="20"/>
          <w:szCs w:val="20"/>
        </w:rPr>
        <w:t xml:space="preserve"> Stories, supra note 24, 16; Lopez, supra note 24.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See, e.g., Christian </w:t>
      </w:r>
      <w:proofErr w:type="spellStart"/>
      <w:r w:rsidRPr="003C6B5F">
        <w:rPr>
          <w:rFonts w:ascii="Arial" w:hAnsi="Arial" w:cs="Arial"/>
          <w:sz w:val="20"/>
          <w:szCs w:val="20"/>
        </w:rPr>
        <w:t>Tomuschat</w:t>
      </w:r>
      <w:proofErr w:type="spellEnd"/>
      <w:r w:rsidRPr="003C6B5F">
        <w:rPr>
          <w:rFonts w:ascii="Arial" w:hAnsi="Arial" w:cs="Arial"/>
          <w:sz w:val="20"/>
          <w:szCs w:val="20"/>
        </w:rPr>
        <w:t>, Human Rights: Between Idealism and Realism 26–29 (2008).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The consecutive waves of transnational migration of fundamental rights are analyzed by Stefan </w:t>
      </w:r>
      <w:proofErr w:type="spellStart"/>
      <w:r w:rsidRPr="003C6B5F">
        <w:rPr>
          <w:rFonts w:ascii="Arial" w:hAnsi="Arial" w:cs="Arial"/>
          <w:sz w:val="20"/>
          <w:szCs w:val="20"/>
        </w:rPr>
        <w:t>Kadelbach</w:t>
      </w:r>
      <w:proofErr w:type="spellEnd"/>
      <w:r w:rsidRPr="003C6B5F">
        <w:rPr>
          <w:rFonts w:ascii="Arial" w:hAnsi="Arial" w:cs="Arial"/>
          <w:sz w:val="20"/>
          <w:szCs w:val="20"/>
        </w:rPr>
        <w:t>, The Territoriality and Migration of Fundamental Rights, in Beyond Territoriality—Transnational Legal Authority in an Age of Globalization 295 (</w:t>
      </w:r>
      <w:proofErr w:type="spellStart"/>
      <w:r w:rsidRPr="003C6B5F">
        <w:rPr>
          <w:rFonts w:ascii="Arial" w:hAnsi="Arial" w:cs="Arial"/>
          <w:sz w:val="20"/>
          <w:szCs w:val="20"/>
        </w:rPr>
        <w:t>Günther</w:t>
      </w:r>
      <w:proofErr w:type="spellEnd"/>
      <w:r w:rsidRPr="003C6B5F">
        <w:rPr>
          <w:rFonts w:ascii="Arial" w:hAnsi="Arial" w:cs="Arial"/>
          <w:sz w:val="20"/>
          <w:szCs w:val="20"/>
        </w:rPr>
        <w:t xml:space="preserve"> </w:t>
      </w:r>
      <w:proofErr w:type="spellStart"/>
      <w:r w:rsidRPr="003C6B5F">
        <w:rPr>
          <w:rFonts w:ascii="Arial" w:hAnsi="Arial" w:cs="Arial"/>
          <w:sz w:val="20"/>
          <w:szCs w:val="20"/>
        </w:rPr>
        <w:t>Handl</w:t>
      </w:r>
      <w:proofErr w:type="spellEnd"/>
      <w:r w:rsidRPr="003C6B5F">
        <w:rPr>
          <w:rFonts w:ascii="Arial" w:hAnsi="Arial" w:cs="Arial"/>
          <w:sz w:val="20"/>
          <w:szCs w:val="20"/>
        </w:rPr>
        <w:t xml:space="preserve">, Joachim </w:t>
      </w:r>
      <w:proofErr w:type="spellStart"/>
      <w:r w:rsidRPr="003C6B5F">
        <w:rPr>
          <w:rFonts w:ascii="Arial" w:hAnsi="Arial" w:cs="Arial"/>
          <w:sz w:val="20"/>
          <w:szCs w:val="20"/>
        </w:rPr>
        <w:t>Zekoll</w:t>
      </w:r>
      <w:proofErr w:type="spellEnd"/>
      <w:r w:rsidRPr="003C6B5F">
        <w:rPr>
          <w:rFonts w:ascii="Arial" w:hAnsi="Arial" w:cs="Arial"/>
          <w:sz w:val="20"/>
          <w:szCs w:val="20"/>
        </w:rPr>
        <w:t xml:space="preserve"> &amp; Peer </w:t>
      </w:r>
      <w:proofErr w:type="spellStart"/>
      <w:r w:rsidRPr="003C6B5F">
        <w:rPr>
          <w:rFonts w:ascii="Arial" w:hAnsi="Arial" w:cs="Arial"/>
          <w:sz w:val="20"/>
          <w:szCs w:val="20"/>
        </w:rPr>
        <w:t>Zumbansen</w:t>
      </w:r>
      <w:proofErr w:type="spellEnd"/>
      <w:r w:rsidRPr="003C6B5F">
        <w:rPr>
          <w:rFonts w:ascii="Arial" w:hAnsi="Arial" w:cs="Arial"/>
          <w:sz w:val="20"/>
          <w:szCs w:val="20"/>
        </w:rPr>
        <w:t xml:space="preserve"> eds., 2012).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Concerning constitutional transfer and experimentalism: Günter Frankenberg, Constitutions as Commodities.</w:t>
      </w:r>
      <w:proofErr w:type="gramEnd"/>
      <w:r w:rsidRPr="003C6B5F">
        <w:rPr>
          <w:rFonts w:ascii="Arial" w:hAnsi="Arial" w:cs="Arial"/>
          <w:sz w:val="20"/>
          <w:szCs w:val="20"/>
        </w:rPr>
        <w:t xml:space="preserve"> </w:t>
      </w:r>
      <w:proofErr w:type="gramStart"/>
      <w:r w:rsidRPr="003C6B5F">
        <w:rPr>
          <w:rFonts w:ascii="Arial" w:hAnsi="Arial" w:cs="Arial"/>
          <w:sz w:val="20"/>
          <w:szCs w:val="20"/>
        </w:rPr>
        <w:t xml:space="preserve">Notes on a Theory of Transfer, </w:t>
      </w:r>
      <w:proofErr w:type="spellStart"/>
      <w:r w:rsidRPr="003C6B5F">
        <w:rPr>
          <w:rFonts w:ascii="Arial" w:hAnsi="Arial" w:cs="Arial"/>
          <w:sz w:val="20"/>
          <w:szCs w:val="20"/>
        </w:rPr>
        <w:t>inOrder</w:t>
      </w:r>
      <w:proofErr w:type="spellEnd"/>
      <w:r w:rsidRPr="003C6B5F">
        <w:rPr>
          <w:rFonts w:ascii="Arial" w:hAnsi="Arial" w:cs="Arial"/>
          <w:sz w:val="20"/>
          <w:szCs w:val="20"/>
        </w:rPr>
        <w:t xml:space="preserve"> from Transfer.</w:t>
      </w:r>
      <w:proofErr w:type="gramEnd"/>
      <w:r w:rsidRPr="003C6B5F">
        <w:rPr>
          <w:rFonts w:ascii="Arial" w:hAnsi="Arial" w:cs="Arial"/>
          <w:sz w:val="20"/>
          <w:szCs w:val="20"/>
        </w:rPr>
        <w:t xml:space="preserve"> </w:t>
      </w:r>
      <w:proofErr w:type="gramStart"/>
      <w:r w:rsidRPr="003C6B5F">
        <w:rPr>
          <w:rFonts w:ascii="Arial" w:hAnsi="Arial" w:cs="Arial"/>
          <w:sz w:val="20"/>
          <w:szCs w:val="20"/>
        </w:rPr>
        <w:t xml:space="preserve">Comparative Constitutional Design and Legal Culture 1 (Günter Frankenberg ed., 2013), and Günter Frankenberg, Constitutional Transfers and Experiments in the 19th Century, </w:t>
      </w:r>
      <w:proofErr w:type="spellStart"/>
      <w:r w:rsidRPr="003C6B5F">
        <w:rPr>
          <w:rFonts w:ascii="Arial" w:hAnsi="Arial" w:cs="Arial"/>
          <w:sz w:val="20"/>
          <w:szCs w:val="20"/>
        </w:rPr>
        <w:t>inOrder</w:t>
      </w:r>
      <w:proofErr w:type="spellEnd"/>
      <w:r w:rsidRPr="003C6B5F">
        <w:rPr>
          <w:rFonts w:ascii="Arial" w:hAnsi="Arial" w:cs="Arial"/>
          <w:sz w:val="20"/>
          <w:szCs w:val="20"/>
        </w:rPr>
        <w:t xml:space="preserve"> from Transfer 279.</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29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Planned Parenthood v. Casey, 505U.S. 833 (1992) at 837 per Souter J—emphasis added.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Brooks, supra note 25, at 21.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Planned Parenthood v. Casey, 505U.S. 833 (1992)—emphasis added.</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lastRenderedPageBreak/>
        <w:t>See, e.g., the preambles of the constitutions of Bolivia (2009), China (1982), East Timor (2002), Vietnam (1992), South Africa (1996), and Myanmar (2008).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In recent years, narrative approaches have left behind these conventions and moved from persuasion through the force of logic to emotive, intuitive, aesthetic, and other forms of persuasion which question received wisdoms, definitions and presuppositions.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Marks, supra note 5, at 320.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David Kennedy, Of War and Law (2006); Marks, supra note 5, at 320.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proofErr w:type="gramStart"/>
      <w:r w:rsidRPr="003C6B5F">
        <w:rPr>
          <w:rFonts w:ascii="Arial" w:hAnsi="Arial" w:cs="Arial"/>
          <w:sz w:val="20"/>
          <w:szCs w:val="20"/>
        </w:rPr>
        <w:t>SeeAnne</w:t>
      </w:r>
      <w:proofErr w:type="spellEnd"/>
      <w:r w:rsidRPr="003C6B5F">
        <w:rPr>
          <w:rFonts w:ascii="Arial" w:hAnsi="Arial" w:cs="Arial"/>
          <w:sz w:val="20"/>
          <w:szCs w:val="20"/>
        </w:rPr>
        <w:t xml:space="preserve"> </w:t>
      </w:r>
      <w:proofErr w:type="spellStart"/>
      <w:r w:rsidRPr="003C6B5F">
        <w:rPr>
          <w:rFonts w:ascii="Arial" w:hAnsi="Arial" w:cs="Arial"/>
          <w:sz w:val="20"/>
          <w:szCs w:val="20"/>
        </w:rPr>
        <w:t>Orford</w:t>
      </w:r>
      <w:proofErr w:type="spellEnd"/>
      <w:r w:rsidRPr="003C6B5F">
        <w:rPr>
          <w:rFonts w:ascii="Arial" w:hAnsi="Arial" w:cs="Arial"/>
          <w:sz w:val="20"/>
          <w:szCs w:val="20"/>
        </w:rPr>
        <w:t>, Reading Humanitarian Intervention.</w:t>
      </w:r>
      <w:proofErr w:type="gramEnd"/>
      <w:r w:rsidRPr="003C6B5F">
        <w:rPr>
          <w:rFonts w:ascii="Arial" w:hAnsi="Arial" w:cs="Arial"/>
          <w:sz w:val="20"/>
          <w:szCs w:val="20"/>
        </w:rPr>
        <w:t xml:space="preserve"> Human Rights and the Use of Force in International Law (2003); Anne </w:t>
      </w:r>
      <w:proofErr w:type="spellStart"/>
      <w:r w:rsidRPr="003C6B5F">
        <w:rPr>
          <w:rFonts w:ascii="Arial" w:hAnsi="Arial" w:cs="Arial"/>
          <w:sz w:val="20"/>
          <w:szCs w:val="20"/>
        </w:rPr>
        <w:t>Orford</w:t>
      </w:r>
      <w:proofErr w:type="spellEnd"/>
      <w:r w:rsidRPr="003C6B5F">
        <w:rPr>
          <w:rFonts w:ascii="Arial" w:hAnsi="Arial" w:cs="Arial"/>
          <w:sz w:val="20"/>
          <w:szCs w:val="20"/>
        </w:rPr>
        <w:t>, International Authority and the Responsibility to Protect (2011); and Kennedy, supra note 35.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proofErr w:type="gramStart"/>
      <w:r w:rsidRPr="003C6B5F">
        <w:rPr>
          <w:rFonts w:ascii="Arial" w:hAnsi="Arial" w:cs="Arial"/>
          <w:sz w:val="20"/>
          <w:szCs w:val="20"/>
        </w:rPr>
        <w:t>SeeGünter</w:t>
      </w:r>
      <w:proofErr w:type="spellEnd"/>
      <w:r w:rsidRPr="003C6B5F">
        <w:rPr>
          <w:rFonts w:ascii="Arial" w:hAnsi="Arial" w:cs="Arial"/>
          <w:sz w:val="20"/>
          <w:szCs w:val="20"/>
        </w:rPr>
        <w:t xml:space="preserve"> Frankenberg, Political Technology and the Erosion of the Rule of Law.</w:t>
      </w:r>
      <w:proofErr w:type="gramEnd"/>
      <w:r w:rsidRPr="003C6B5F">
        <w:rPr>
          <w:rFonts w:ascii="Arial" w:hAnsi="Arial" w:cs="Arial"/>
          <w:sz w:val="20"/>
          <w:szCs w:val="20"/>
        </w:rPr>
        <w:t xml:space="preserve"> </w:t>
      </w:r>
      <w:proofErr w:type="spellStart"/>
      <w:proofErr w:type="gramStart"/>
      <w:r w:rsidRPr="003C6B5F">
        <w:rPr>
          <w:rFonts w:ascii="Arial" w:hAnsi="Arial" w:cs="Arial"/>
          <w:sz w:val="20"/>
          <w:szCs w:val="20"/>
        </w:rPr>
        <w:t>Normalising</w:t>
      </w:r>
      <w:proofErr w:type="spellEnd"/>
      <w:r w:rsidRPr="003C6B5F">
        <w:rPr>
          <w:rFonts w:ascii="Arial" w:hAnsi="Arial" w:cs="Arial"/>
          <w:sz w:val="20"/>
          <w:szCs w:val="20"/>
        </w:rPr>
        <w:t xml:space="preserve"> the State of Exception </w:t>
      </w:r>
      <w:proofErr w:type="spellStart"/>
      <w:r w:rsidRPr="003C6B5F">
        <w:rPr>
          <w:rFonts w:ascii="Arial" w:hAnsi="Arial" w:cs="Arial"/>
          <w:sz w:val="20"/>
          <w:szCs w:val="20"/>
        </w:rPr>
        <w:t>ch.</w:t>
      </w:r>
      <w:proofErr w:type="spellEnd"/>
      <w:r w:rsidRPr="003C6B5F">
        <w:rPr>
          <w:rFonts w:ascii="Arial" w:hAnsi="Arial" w:cs="Arial"/>
          <w:sz w:val="20"/>
          <w:szCs w:val="20"/>
        </w:rPr>
        <w:t xml:space="preserve"> VII (forthcoming January 2014).</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SeeLuc</w:t>
      </w:r>
      <w:proofErr w:type="spellEnd"/>
      <w:r w:rsidRPr="003C6B5F">
        <w:rPr>
          <w:rFonts w:ascii="Arial" w:hAnsi="Arial" w:cs="Arial"/>
          <w:sz w:val="20"/>
          <w:szCs w:val="20"/>
        </w:rPr>
        <w:t xml:space="preserve"> </w:t>
      </w:r>
      <w:proofErr w:type="spellStart"/>
      <w:r w:rsidRPr="003C6B5F">
        <w:rPr>
          <w:rFonts w:ascii="Arial" w:hAnsi="Arial" w:cs="Arial"/>
          <w:sz w:val="20"/>
          <w:szCs w:val="20"/>
        </w:rPr>
        <w:t>Boltanski</w:t>
      </w:r>
      <w:proofErr w:type="spellEnd"/>
      <w:r w:rsidRPr="003C6B5F">
        <w:rPr>
          <w:rFonts w:ascii="Arial" w:hAnsi="Arial" w:cs="Arial"/>
          <w:sz w:val="20"/>
          <w:szCs w:val="20"/>
        </w:rPr>
        <w:t xml:space="preserve"> &amp; Laurent </w:t>
      </w:r>
      <w:proofErr w:type="spellStart"/>
      <w:r w:rsidRPr="003C6B5F">
        <w:rPr>
          <w:rFonts w:ascii="Arial" w:hAnsi="Arial" w:cs="Arial"/>
          <w:sz w:val="20"/>
          <w:szCs w:val="20"/>
        </w:rPr>
        <w:t>Thevenot</w:t>
      </w:r>
      <w:proofErr w:type="spellEnd"/>
      <w:r w:rsidRPr="003C6B5F">
        <w:rPr>
          <w:rFonts w:ascii="Arial" w:hAnsi="Arial" w:cs="Arial"/>
          <w:sz w:val="20"/>
          <w:szCs w:val="20"/>
        </w:rPr>
        <w:t>, On Justification: Economies of Worth (Catherine Porter trans., 2006).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39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Anna Freud, </w:t>
      </w:r>
      <w:proofErr w:type="gramStart"/>
      <w:r w:rsidRPr="003C6B5F">
        <w:rPr>
          <w:rFonts w:ascii="Arial" w:hAnsi="Arial" w:cs="Arial"/>
          <w:sz w:val="20"/>
          <w:szCs w:val="20"/>
        </w:rPr>
        <w:t>The</w:t>
      </w:r>
      <w:proofErr w:type="gramEnd"/>
      <w:r w:rsidRPr="003C6B5F">
        <w:rPr>
          <w:rFonts w:ascii="Arial" w:hAnsi="Arial" w:cs="Arial"/>
          <w:sz w:val="20"/>
          <w:szCs w:val="20"/>
        </w:rPr>
        <w:t xml:space="preserve"> Ego and the Mechanisms of Defense (1937).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lastRenderedPageBreak/>
        <w:t xml:space="preserve">See, e.g., US Secretary of State Colin Powell, addressing the UN Security Council, on Feb. 5, 2003; Prime Minister Tony Blair, Answer to Parliamentary Question, June 29, 2011: “Regime change in Iraq would be a wonderful thing. That is not the purpose of our action; our purpose is to disarm Iraq of weapons of mass destruction . . . .” See also </w:t>
      </w:r>
      <w:proofErr w:type="gramStart"/>
      <w:r w:rsidRPr="003C6B5F">
        <w:rPr>
          <w:rFonts w:ascii="Arial" w:hAnsi="Arial" w:cs="Arial"/>
          <w:sz w:val="20"/>
          <w:szCs w:val="20"/>
        </w:rPr>
        <w:t>Parliamentary</w:t>
      </w:r>
      <w:proofErr w:type="gramEnd"/>
      <w:r w:rsidRPr="003C6B5F">
        <w:rPr>
          <w:rFonts w:ascii="Arial" w:hAnsi="Arial" w:cs="Arial"/>
          <w:sz w:val="20"/>
          <w:szCs w:val="20"/>
        </w:rPr>
        <w:t xml:space="preserve"> debate, Sept. 24, 2002, www.publications.parliament.uk/pa/cm200102/cmhansrd/vo020924/debtext/20924-05.htm.</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proofErr w:type="gramStart"/>
      <w:r w:rsidRPr="003C6B5F">
        <w:rPr>
          <w:rFonts w:ascii="Arial" w:hAnsi="Arial" w:cs="Arial"/>
          <w:sz w:val="20"/>
          <w:szCs w:val="20"/>
        </w:rPr>
        <w:t>Reichsgesetzblatt</w:t>
      </w:r>
      <w:proofErr w:type="spellEnd"/>
      <w:r w:rsidRPr="003C6B5F">
        <w:rPr>
          <w:rFonts w:ascii="Arial" w:hAnsi="Arial" w:cs="Arial"/>
          <w:sz w:val="20"/>
          <w:szCs w:val="20"/>
        </w:rPr>
        <w:t xml:space="preserve"> [law gazette of the German Reich] I, p. 83 (Feb. 28, 1933) and </w:t>
      </w:r>
      <w:proofErr w:type="spellStart"/>
      <w:r w:rsidRPr="003C6B5F">
        <w:rPr>
          <w:rFonts w:ascii="Arial" w:hAnsi="Arial" w:cs="Arial"/>
          <w:sz w:val="20"/>
          <w:szCs w:val="20"/>
        </w:rPr>
        <w:t>Reichsgesetzblatt</w:t>
      </w:r>
      <w:proofErr w:type="spellEnd"/>
      <w:r w:rsidRPr="003C6B5F">
        <w:rPr>
          <w:rFonts w:ascii="Arial" w:hAnsi="Arial" w:cs="Arial"/>
          <w:sz w:val="20"/>
          <w:szCs w:val="20"/>
        </w:rPr>
        <w:t xml:space="preserve"> I, p. 141 (Mar. 24, 1933).</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By way of justification the Pilgrims counterfactually spread the tale of the emptiness of the land they were out to settle and reduced the few native American present to “savage and brutish men . . . little otherwise than wild beasts,” who could be “discounted” normatively speaking: </w:t>
      </w:r>
      <w:proofErr w:type="spellStart"/>
      <w:r w:rsidRPr="003C6B5F">
        <w:rPr>
          <w:rFonts w:ascii="Arial" w:hAnsi="Arial" w:cs="Arial"/>
          <w:sz w:val="20"/>
          <w:szCs w:val="20"/>
        </w:rPr>
        <w:t>seeWilliam</w:t>
      </w:r>
      <w:proofErr w:type="spellEnd"/>
      <w:r w:rsidRPr="003C6B5F">
        <w:rPr>
          <w:rFonts w:ascii="Arial" w:hAnsi="Arial" w:cs="Arial"/>
          <w:sz w:val="20"/>
          <w:szCs w:val="20"/>
        </w:rPr>
        <w:t xml:space="preserve"> Bradford, Of Plymouth Plantation 25–26 (S.E. Morison ed., 1967).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Immanuel Wallerstein, European Universalism: The Rhetoric of Power 27 (2006); Tony </w:t>
      </w:r>
      <w:proofErr w:type="spellStart"/>
      <w:r w:rsidRPr="003C6B5F">
        <w:rPr>
          <w:rFonts w:ascii="Arial" w:hAnsi="Arial" w:cs="Arial"/>
          <w:sz w:val="20"/>
          <w:szCs w:val="20"/>
        </w:rPr>
        <w:t>Anghie</w:t>
      </w:r>
      <w:proofErr w:type="spellEnd"/>
      <w:r w:rsidRPr="003C6B5F">
        <w:rPr>
          <w:rFonts w:ascii="Arial" w:hAnsi="Arial" w:cs="Arial"/>
          <w:sz w:val="20"/>
          <w:szCs w:val="20"/>
        </w:rPr>
        <w:t xml:space="preserve">, Imperialism, Sovereignty, and the Making of International Law (2005); </w:t>
      </w:r>
      <w:proofErr w:type="spellStart"/>
      <w:r w:rsidRPr="003C6B5F">
        <w:rPr>
          <w:rFonts w:ascii="Arial" w:hAnsi="Arial" w:cs="Arial"/>
          <w:sz w:val="20"/>
          <w:szCs w:val="20"/>
        </w:rPr>
        <w:t>Martti</w:t>
      </w:r>
      <w:proofErr w:type="spellEnd"/>
      <w:r w:rsidRPr="003C6B5F">
        <w:rPr>
          <w:rFonts w:ascii="Arial" w:hAnsi="Arial" w:cs="Arial"/>
          <w:sz w:val="20"/>
          <w:szCs w:val="20"/>
        </w:rPr>
        <w:t xml:space="preserve"> </w:t>
      </w:r>
      <w:proofErr w:type="spellStart"/>
      <w:r w:rsidRPr="003C6B5F">
        <w:rPr>
          <w:rFonts w:ascii="Arial" w:hAnsi="Arial" w:cs="Arial"/>
          <w:sz w:val="20"/>
          <w:szCs w:val="20"/>
        </w:rPr>
        <w:t>Koskenniemi</w:t>
      </w:r>
      <w:proofErr w:type="spellEnd"/>
      <w:r w:rsidRPr="003C6B5F">
        <w:rPr>
          <w:rFonts w:ascii="Arial" w:hAnsi="Arial" w:cs="Arial"/>
          <w:sz w:val="20"/>
          <w:szCs w:val="20"/>
        </w:rPr>
        <w:t xml:space="preserve">, </w:t>
      </w:r>
      <w:proofErr w:type="gramStart"/>
      <w:r w:rsidRPr="003C6B5F">
        <w:rPr>
          <w:rFonts w:ascii="Arial" w:hAnsi="Arial" w:cs="Arial"/>
          <w:sz w:val="20"/>
          <w:szCs w:val="20"/>
        </w:rPr>
        <w:t>The</w:t>
      </w:r>
      <w:proofErr w:type="gramEnd"/>
      <w:r w:rsidRPr="003C6B5F">
        <w:rPr>
          <w:rFonts w:ascii="Arial" w:hAnsi="Arial" w:cs="Arial"/>
          <w:sz w:val="20"/>
          <w:szCs w:val="20"/>
        </w:rPr>
        <w:t xml:space="preserve"> Gentle Civilizer of Nations (2001).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Russian Constitution 1918 No. 23.</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With this argument, the Nixon Administration sought to prevent further publication of the Pentagon Papers, which revealed the genealogy of the Vietnam War and the systematic disinformation of the American public about the war by US Governments. </w:t>
      </w:r>
      <w:proofErr w:type="gramStart"/>
      <w:r w:rsidRPr="003C6B5F">
        <w:rPr>
          <w:rFonts w:ascii="Arial" w:hAnsi="Arial" w:cs="Arial"/>
          <w:sz w:val="20"/>
          <w:szCs w:val="20"/>
        </w:rPr>
        <w:t>See New York Times Co. v. U.S. 403U.S. 713 (1971).</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Still instructive are the legal arguments of the President’s defenders in the Watergate Scandal, see Watergate and Afterward—The Legacy of Richard M. Nixon (Leon Friedman &amp; William F. </w:t>
      </w:r>
      <w:proofErr w:type="spellStart"/>
      <w:r w:rsidRPr="003C6B5F">
        <w:rPr>
          <w:rFonts w:ascii="Arial" w:hAnsi="Arial" w:cs="Arial"/>
          <w:sz w:val="20"/>
          <w:szCs w:val="20"/>
        </w:rPr>
        <w:t>Levantrosser</w:t>
      </w:r>
      <w:proofErr w:type="spellEnd"/>
      <w:r w:rsidRPr="003C6B5F">
        <w:rPr>
          <w:rFonts w:ascii="Arial" w:hAnsi="Arial" w:cs="Arial"/>
          <w:sz w:val="20"/>
          <w:szCs w:val="20"/>
        </w:rPr>
        <w:t xml:space="preserve"> eds., 1992).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 xml:space="preserve">Keith Baker, The Idea of a Declaration of Rights, </w:t>
      </w:r>
      <w:proofErr w:type="spellStart"/>
      <w:r w:rsidRPr="003C6B5F">
        <w:rPr>
          <w:rFonts w:ascii="Arial" w:hAnsi="Arial" w:cs="Arial"/>
          <w:sz w:val="20"/>
          <w:szCs w:val="20"/>
        </w:rPr>
        <w:t>inThe</w:t>
      </w:r>
      <w:proofErr w:type="spellEnd"/>
      <w:r w:rsidRPr="003C6B5F">
        <w:rPr>
          <w:rFonts w:ascii="Arial" w:hAnsi="Arial" w:cs="Arial"/>
          <w:sz w:val="20"/>
          <w:szCs w:val="20"/>
        </w:rPr>
        <w:t xml:space="preserve"> French Idea of Freedom 169 (Dale van </w:t>
      </w:r>
      <w:proofErr w:type="spellStart"/>
      <w:r w:rsidRPr="003C6B5F">
        <w:rPr>
          <w:rFonts w:ascii="Arial" w:hAnsi="Arial" w:cs="Arial"/>
          <w:sz w:val="20"/>
          <w:szCs w:val="20"/>
        </w:rPr>
        <w:t>Kley</w:t>
      </w:r>
      <w:proofErr w:type="spellEnd"/>
      <w:r w:rsidRPr="003C6B5F">
        <w:rPr>
          <w:rFonts w:ascii="Arial" w:hAnsi="Arial" w:cs="Arial"/>
          <w:sz w:val="20"/>
          <w:szCs w:val="20"/>
        </w:rPr>
        <w:t xml:space="preserve"> ed., 1992).</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 xml:space="preserve">See </w:t>
      </w:r>
      <w:proofErr w:type="spellStart"/>
      <w:r w:rsidRPr="003C6B5F">
        <w:rPr>
          <w:rFonts w:ascii="Arial" w:hAnsi="Arial" w:cs="Arial"/>
          <w:sz w:val="20"/>
          <w:szCs w:val="20"/>
        </w:rPr>
        <w:t>onlyAlison</w:t>
      </w:r>
      <w:proofErr w:type="spellEnd"/>
      <w:r w:rsidRPr="003C6B5F">
        <w:rPr>
          <w:rFonts w:ascii="Arial" w:hAnsi="Arial" w:cs="Arial"/>
          <w:sz w:val="20"/>
          <w:szCs w:val="20"/>
        </w:rPr>
        <w:t xml:space="preserve"> </w:t>
      </w:r>
      <w:proofErr w:type="spellStart"/>
      <w:r w:rsidRPr="003C6B5F">
        <w:rPr>
          <w:rFonts w:ascii="Arial" w:hAnsi="Arial" w:cs="Arial"/>
          <w:sz w:val="20"/>
          <w:szCs w:val="20"/>
        </w:rPr>
        <w:t>Brysk</w:t>
      </w:r>
      <w:proofErr w:type="spellEnd"/>
      <w:r w:rsidRPr="003C6B5F">
        <w:rPr>
          <w:rFonts w:ascii="Arial" w:hAnsi="Arial" w:cs="Arial"/>
          <w:sz w:val="20"/>
          <w:szCs w:val="20"/>
        </w:rPr>
        <w:t>, Global Good Samaritans—Human Rights as Foreign Policy (2009); Noam Chomsky, “Human Rights” and American Foreign Policy (1978).</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49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In Alekseyev v. Russia, App. Nos. 4916/07, 25924/08, and 14599/09, Oct. 21, 2010, the Court held that banning gay pride rallies violates arts. </w:t>
      </w:r>
      <w:proofErr w:type="gramStart"/>
      <w:r w:rsidRPr="003C6B5F">
        <w:rPr>
          <w:rFonts w:ascii="Arial" w:hAnsi="Arial" w:cs="Arial"/>
          <w:sz w:val="20"/>
          <w:szCs w:val="20"/>
        </w:rPr>
        <w:t>11 and 14 of the European Convention on Human Rights.</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Michael </w:t>
      </w:r>
      <w:proofErr w:type="spellStart"/>
      <w:r w:rsidRPr="003C6B5F">
        <w:rPr>
          <w:rFonts w:ascii="Arial" w:hAnsi="Arial" w:cs="Arial"/>
          <w:sz w:val="20"/>
          <w:szCs w:val="20"/>
        </w:rPr>
        <w:t>Walzer</w:t>
      </w:r>
      <w:proofErr w:type="spellEnd"/>
      <w:r w:rsidRPr="003C6B5F">
        <w:rPr>
          <w:rFonts w:ascii="Arial" w:hAnsi="Arial" w:cs="Arial"/>
          <w:sz w:val="20"/>
          <w:szCs w:val="20"/>
        </w:rPr>
        <w:t xml:space="preserve">, Arguing about War 12 (2004); see also </w:t>
      </w:r>
      <w:proofErr w:type="gramStart"/>
      <w:r w:rsidRPr="003C6B5F">
        <w:rPr>
          <w:rFonts w:ascii="Arial" w:hAnsi="Arial" w:cs="Arial"/>
          <w:sz w:val="20"/>
          <w:szCs w:val="20"/>
        </w:rPr>
        <w:t>Kennedy,</w:t>
      </w:r>
      <w:proofErr w:type="gramEnd"/>
      <w:r w:rsidRPr="003C6B5F">
        <w:rPr>
          <w:rFonts w:ascii="Arial" w:hAnsi="Arial" w:cs="Arial"/>
          <w:sz w:val="20"/>
          <w:szCs w:val="20"/>
        </w:rPr>
        <w:t xml:space="preserve"> supra note 15, at 287 and 289, who argues that humanitarian norms have been “</w:t>
      </w:r>
      <w:proofErr w:type="spellStart"/>
      <w:r w:rsidRPr="003C6B5F">
        <w:rPr>
          <w:rFonts w:ascii="Arial" w:hAnsi="Arial" w:cs="Arial"/>
          <w:sz w:val="20"/>
          <w:szCs w:val="20"/>
        </w:rPr>
        <w:t>metabolised</w:t>
      </w:r>
      <w:proofErr w:type="spellEnd"/>
      <w:r w:rsidRPr="003C6B5F">
        <w:rPr>
          <w:rFonts w:ascii="Arial" w:hAnsi="Arial" w:cs="Arial"/>
          <w:sz w:val="20"/>
          <w:szCs w:val="20"/>
        </w:rPr>
        <w:t xml:space="preserve"> into the routines of the US Navy.”</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 xml:space="preserve">Klaus </w:t>
      </w:r>
      <w:proofErr w:type="spellStart"/>
      <w:r w:rsidRPr="003C6B5F">
        <w:rPr>
          <w:rFonts w:ascii="Arial" w:hAnsi="Arial" w:cs="Arial"/>
          <w:sz w:val="20"/>
          <w:szCs w:val="20"/>
        </w:rPr>
        <w:t>Günther</w:t>
      </w:r>
      <w:proofErr w:type="spellEnd"/>
      <w:r w:rsidRPr="003C6B5F">
        <w:rPr>
          <w:rFonts w:ascii="Arial" w:hAnsi="Arial" w:cs="Arial"/>
          <w:sz w:val="20"/>
          <w:szCs w:val="20"/>
        </w:rPr>
        <w:t xml:space="preserve">, Human Rights and Political Culture, </w:t>
      </w:r>
      <w:proofErr w:type="spellStart"/>
      <w:r w:rsidRPr="003C6B5F">
        <w:rPr>
          <w:rFonts w:ascii="Arial" w:hAnsi="Arial" w:cs="Arial"/>
          <w:sz w:val="20"/>
          <w:szCs w:val="20"/>
        </w:rPr>
        <w:t>inThe</w:t>
      </w:r>
      <w:proofErr w:type="spellEnd"/>
      <w:r w:rsidRPr="003C6B5F">
        <w:rPr>
          <w:rFonts w:ascii="Arial" w:hAnsi="Arial" w:cs="Arial"/>
          <w:sz w:val="20"/>
          <w:szCs w:val="20"/>
        </w:rPr>
        <w:t xml:space="preserve"> EU and Human Rights 126 (Philip Alston ed., 1999).</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See, e.g., John Rawls, A Theory of Justice (1971); Jürgen </w:t>
      </w:r>
      <w:proofErr w:type="spellStart"/>
      <w:r w:rsidRPr="003C6B5F">
        <w:rPr>
          <w:rFonts w:ascii="Arial" w:hAnsi="Arial" w:cs="Arial"/>
          <w:sz w:val="20"/>
          <w:szCs w:val="20"/>
        </w:rPr>
        <w:t>Habermas</w:t>
      </w:r>
      <w:proofErr w:type="spellEnd"/>
      <w:r w:rsidRPr="003C6B5F">
        <w:rPr>
          <w:rFonts w:ascii="Arial" w:hAnsi="Arial" w:cs="Arial"/>
          <w:sz w:val="20"/>
          <w:szCs w:val="20"/>
        </w:rPr>
        <w:t xml:space="preserve">, Between Facts and Norms: Contributions to a Discourse Theory of Law and Democracy (William </w:t>
      </w:r>
      <w:proofErr w:type="spellStart"/>
      <w:r w:rsidRPr="003C6B5F">
        <w:rPr>
          <w:rFonts w:ascii="Arial" w:hAnsi="Arial" w:cs="Arial"/>
          <w:sz w:val="20"/>
          <w:szCs w:val="20"/>
        </w:rPr>
        <w:t>Rehg</w:t>
      </w:r>
      <w:proofErr w:type="spellEnd"/>
      <w:r w:rsidRPr="003C6B5F">
        <w:rPr>
          <w:rFonts w:ascii="Arial" w:hAnsi="Arial" w:cs="Arial"/>
          <w:sz w:val="20"/>
          <w:szCs w:val="20"/>
        </w:rPr>
        <w:t xml:space="preserve"> trans., 1996); Thomas Scanlon, What We Owe to Each Other (1998); Allan Buchanan, Justice, Legitimacy, and Self-Determination. </w:t>
      </w:r>
      <w:proofErr w:type="gramStart"/>
      <w:r w:rsidRPr="003C6B5F">
        <w:rPr>
          <w:rFonts w:ascii="Arial" w:hAnsi="Arial" w:cs="Arial"/>
          <w:sz w:val="20"/>
          <w:szCs w:val="20"/>
        </w:rPr>
        <w:t xml:space="preserve">Moral Foundations for International Law (2004); Rainer </w:t>
      </w:r>
      <w:proofErr w:type="spellStart"/>
      <w:r w:rsidRPr="003C6B5F">
        <w:rPr>
          <w:rFonts w:ascii="Arial" w:hAnsi="Arial" w:cs="Arial"/>
          <w:sz w:val="20"/>
          <w:szCs w:val="20"/>
        </w:rPr>
        <w:t>Forst</w:t>
      </w:r>
      <w:proofErr w:type="spellEnd"/>
      <w:r w:rsidRPr="003C6B5F">
        <w:rPr>
          <w:rFonts w:ascii="Arial" w:hAnsi="Arial" w:cs="Arial"/>
          <w:sz w:val="20"/>
          <w:szCs w:val="20"/>
        </w:rPr>
        <w:t xml:space="preserve">, Das </w:t>
      </w:r>
      <w:proofErr w:type="spellStart"/>
      <w:r w:rsidRPr="003C6B5F">
        <w:rPr>
          <w:rFonts w:ascii="Arial" w:hAnsi="Arial" w:cs="Arial"/>
          <w:sz w:val="20"/>
          <w:szCs w:val="20"/>
        </w:rPr>
        <w:t>Recht</w:t>
      </w:r>
      <w:proofErr w:type="spellEnd"/>
      <w:r w:rsidRPr="003C6B5F">
        <w:rPr>
          <w:rFonts w:ascii="Arial" w:hAnsi="Arial" w:cs="Arial"/>
          <w:sz w:val="20"/>
          <w:szCs w:val="20"/>
        </w:rPr>
        <w:t xml:space="preserve"> auf </w:t>
      </w:r>
      <w:proofErr w:type="spellStart"/>
      <w:r w:rsidRPr="003C6B5F">
        <w:rPr>
          <w:rFonts w:ascii="Arial" w:hAnsi="Arial" w:cs="Arial"/>
          <w:sz w:val="20"/>
          <w:szCs w:val="20"/>
        </w:rPr>
        <w:t>Rechtfertigung</w:t>
      </w:r>
      <w:proofErr w:type="spellEnd"/>
      <w:r w:rsidRPr="003C6B5F">
        <w:rPr>
          <w:rFonts w:ascii="Arial" w:hAnsi="Arial" w:cs="Arial"/>
          <w:sz w:val="20"/>
          <w:szCs w:val="20"/>
        </w:rPr>
        <w:t>.</w:t>
      </w:r>
      <w:proofErr w:type="gramEnd"/>
      <w:r w:rsidRPr="003C6B5F">
        <w:rPr>
          <w:rFonts w:ascii="Arial" w:hAnsi="Arial" w:cs="Arial"/>
          <w:sz w:val="20"/>
          <w:szCs w:val="20"/>
        </w:rPr>
        <w:t xml:space="preserve"> </w:t>
      </w:r>
      <w:proofErr w:type="spellStart"/>
      <w:proofErr w:type="gramStart"/>
      <w:r w:rsidRPr="003C6B5F">
        <w:rPr>
          <w:rFonts w:ascii="Arial" w:hAnsi="Arial" w:cs="Arial"/>
          <w:sz w:val="20"/>
          <w:szCs w:val="20"/>
        </w:rPr>
        <w:t>Elemente</w:t>
      </w:r>
      <w:proofErr w:type="spellEnd"/>
      <w:r w:rsidRPr="003C6B5F">
        <w:rPr>
          <w:rFonts w:ascii="Arial" w:hAnsi="Arial" w:cs="Arial"/>
          <w:sz w:val="20"/>
          <w:szCs w:val="20"/>
        </w:rPr>
        <w:t xml:space="preserve"> </w:t>
      </w:r>
      <w:proofErr w:type="spellStart"/>
      <w:r w:rsidRPr="003C6B5F">
        <w:rPr>
          <w:rFonts w:ascii="Arial" w:hAnsi="Arial" w:cs="Arial"/>
          <w:sz w:val="20"/>
          <w:szCs w:val="20"/>
        </w:rPr>
        <w:t>einer</w:t>
      </w:r>
      <w:proofErr w:type="spellEnd"/>
      <w:r w:rsidRPr="003C6B5F">
        <w:rPr>
          <w:rFonts w:ascii="Arial" w:hAnsi="Arial" w:cs="Arial"/>
          <w:sz w:val="20"/>
          <w:szCs w:val="20"/>
        </w:rPr>
        <w:t xml:space="preserve"> </w:t>
      </w:r>
      <w:proofErr w:type="spellStart"/>
      <w:r w:rsidRPr="003C6B5F">
        <w:rPr>
          <w:rFonts w:ascii="Arial" w:hAnsi="Arial" w:cs="Arial"/>
          <w:sz w:val="20"/>
          <w:szCs w:val="20"/>
        </w:rPr>
        <w:t>konstruktivistischen</w:t>
      </w:r>
      <w:proofErr w:type="spellEnd"/>
      <w:r w:rsidRPr="003C6B5F">
        <w:rPr>
          <w:rFonts w:ascii="Arial" w:hAnsi="Arial" w:cs="Arial"/>
          <w:sz w:val="20"/>
          <w:szCs w:val="20"/>
        </w:rPr>
        <w:t xml:space="preserve"> </w:t>
      </w:r>
      <w:proofErr w:type="spellStart"/>
      <w:r w:rsidRPr="003C6B5F">
        <w:rPr>
          <w:rFonts w:ascii="Arial" w:hAnsi="Arial" w:cs="Arial"/>
          <w:sz w:val="20"/>
          <w:szCs w:val="20"/>
        </w:rPr>
        <w:t>Theorie</w:t>
      </w:r>
      <w:proofErr w:type="spellEnd"/>
      <w:r w:rsidRPr="003C6B5F">
        <w:rPr>
          <w:rFonts w:ascii="Arial" w:hAnsi="Arial" w:cs="Arial"/>
          <w:sz w:val="20"/>
          <w:szCs w:val="20"/>
        </w:rPr>
        <w:t xml:space="preserve"> der </w:t>
      </w:r>
      <w:proofErr w:type="spellStart"/>
      <w:r w:rsidRPr="003C6B5F">
        <w:rPr>
          <w:rFonts w:ascii="Arial" w:hAnsi="Arial" w:cs="Arial"/>
          <w:sz w:val="20"/>
          <w:szCs w:val="20"/>
        </w:rPr>
        <w:t>Gerechtigkeit</w:t>
      </w:r>
      <w:proofErr w:type="spellEnd"/>
      <w:r w:rsidRPr="003C6B5F">
        <w:rPr>
          <w:rFonts w:ascii="Arial" w:hAnsi="Arial" w:cs="Arial"/>
          <w:sz w:val="20"/>
          <w:szCs w:val="20"/>
        </w:rPr>
        <w:t xml:space="preserve"> (2007); Stefan </w:t>
      </w:r>
      <w:proofErr w:type="spellStart"/>
      <w:r w:rsidRPr="003C6B5F">
        <w:rPr>
          <w:rFonts w:ascii="Arial" w:hAnsi="Arial" w:cs="Arial"/>
          <w:sz w:val="20"/>
          <w:szCs w:val="20"/>
        </w:rPr>
        <w:t>Gosepath</w:t>
      </w:r>
      <w:proofErr w:type="spellEnd"/>
      <w:r w:rsidRPr="003C6B5F">
        <w:rPr>
          <w:rFonts w:ascii="Arial" w:hAnsi="Arial" w:cs="Arial"/>
          <w:sz w:val="20"/>
          <w:szCs w:val="20"/>
        </w:rPr>
        <w:t xml:space="preserve">, </w:t>
      </w:r>
      <w:proofErr w:type="spellStart"/>
      <w:r w:rsidRPr="003C6B5F">
        <w:rPr>
          <w:rFonts w:ascii="Arial" w:hAnsi="Arial" w:cs="Arial"/>
          <w:sz w:val="20"/>
          <w:szCs w:val="20"/>
        </w:rPr>
        <w:t>Gleiche</w:t>
      </w:r>
      <w:proofErr w:type="spellEnd"/>
      <w:r w:rsidRPr="003C6B5F">
        <w:rPr>
          <w:rFonts w:ascii="Arial" w:hAnsi="Arial" w:cs="Arial"/>
          <w:sz w:val="20"/>
          <w:szCs w:val="20"/>
        </w:rPr>
        <w:t xml:space="preserve"> </w:t>
      </w:r>
      <w:proofErr w:type="spellStart"/>
      <w:r w:rsidRPr="003C6B5F">
        <w:rPr>
          <w:rFonts w:ascii="Arial" w:hAnsi="Arial" w:cs="Arial"/>
          <w:sz w:val="20"/>
          <w:szCs w:val="20"/>
        </w:rPr>
        <w:t>Gerechtigkeit</w:t>
      </w:r>
      <w:proofErr w:type="spellEnd"/>
      <w:r w:rsidRPr="003C6B5F">
        <w:rPr>
          <w:rFonts w:ascii="Arial" w:hAnsi="Arial" w:cs="Arial"/>
          <w:sz w:val="20"/>
          <w:szCs w:val="20"/>
        </w:rPr>
        <w:t>.</w:t>
      </w:r>
      <w:proofErr w:type="gramEnd"/>
      <w:r w:rsidRPr="003C6B5F">
        <w:rPr>
          <w:rFonts w:ascii="Arial" w:hAnsi="Arial" w:cs="Arial"/>
          <w:sz w:val="20"/>
          <w:szCs w:val="20"/>
        </w:rPr>
        <w:t xml:space="preserve"> </w:t>
      </w:r>
      <w:proofErr w:type="spellStart"/>
      <w:r w:rsidRPr="003C6B5F">
        <w:rPr>
          <w:rFonts w:ascii="Arial" w:hAnsi="Arial" w:cs="Arial"/>
          <w:sz w:val="20"/>
          <w:szCs w:val="20"/>
        </w:rPr>
        <w:t>Grundlagen</w:t>
      </w:r>
      <w:proofErr w:type="spellEnd"/>
      <w:r w:rsidRPr="003C6B5F">
        <w:rPr>
          <w:rFonts w:ascii="Arial" w:hAnsi="Arial" w:cs="Arial"/>
          <w:sz w:val="20"/>
          <w:szCs w:val="20"/>
        </w:rPr>
        <w:t xml:space="preserve"> </w:t>
      </w:r>
      <w:proofErr w:type="spellStart"/>
      <w:r w:rsidRPr="003C6B5F">
        <w:rPr>
          <w:rFonts w:ascii="Arial" w:hAnsi="Arial" w:cs="Arial"/>
          <w:sz w:val="20"/>
          <w:szCs w:val="20"/>
        </w:rPr>
        <w:t>eines</w:t>
      </w:r>
      <w:proofErr w:type="spellEnd"/>
      <w:r w:rsidRPr="003C6B5F">
        <w:rPr>
          <w:rFonts w:ascii="Arial" w:hAnsi="Arial" w:cs="Arial"/>
          <w:sz w:val="20"/>
          <w:szCs w:val="20"/>
        </w:rPr>
        <w:t xml:space="preserve"> </w:t>
      </w:r>
      <w:proofErr w:type="spellStart"/>
      <w:r w:rsidRPr="003C6B5F">
        <w:rPr>
          <w:rFonts w:ascii="Arial" w:hAnsi="Arial" w:cs="Arial"/>
          <w:sz w:val="20"/>
          <w:szCs w:val="20"/>
        </w:rPr>
        <w:t>liberalen</w:t>
      </w:r>
      <w:proofErr w:type="spellEnd"/>
      <w:r w:rsidRPr="003C6B5F">
        <w:rPr>
          <w:rFonts w:ascii="Arial" w:hAnsi="Arial" w:cs="Arial"/>
          <w:sz w:val="20"/>
          <w:szCs w:val="20"/>
        </w:rPr>
        <w:t xml:space="preserve"> </w:t>
      </w:r>
      <w:proofErr w:type="spellStart"/>
      <w:r w:rsidRPr="003C6B5F">
        <w:rPr>
          <w:rFonts w:ascii="Arial" w:hAnsi="Arial" w:cs="Arial"/>
          <w:sz w:val="20"/>
          <w:szCs w:val="20"/>
        </w:rPr>
        <w:t>Egalitarismus</w:t>
      </w:r>
      <w:proofErr w:type="spellEnd"/>
      <w:r w:rsidRPr="003C6B5F">
        <w:rPr>
          <w:rFonts w:ascii="Arial" w:hAnsi="Arial" w:cs="Arial"/>
          <w:sz w:val="20"/>
          <w:szCs w:val="20"/>
        </w:rPr>
        <w:t xml:space="preserve"> (2004).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See </w:t>
      </w:r>
      <w:proofErr w:type="spellStart"/>
      <w:r w:rsidRPr="003C6B5F">
        <w:rPr>
          <w:rFonts w:ascii="Arial" w:hAnsi="Arial" w:cs="Arial"/>
          <w:sz w:val="20"/>
          <w:szCs w:val="20"/>
        </w:rPr>
        <w:t>onlyTheories</w:t>
      </w:r>
      <w:proofErr w:type="spellEnd"/>
      <w:r w:rsidRPr="003C6B5F">
        <w:rPr>
          <w:rFonts w:ascii="Arial" w:hAnsi="Arial" w:cs="Arial"/>
          <w:sz w:val="20"/>
          <w:szCs w:val="20"/>
        </w:rPr>
        <w:t xml:space="preserve"> of Rights, supra note 9; </w:t>
      </w:r>
      <w:proofErr w:type="spellStart"/>
      <w:r w:rsidRPr="003C6B5F">
        <w:rPr>
          <w:rFonts w:ascii="Arial" w:hAnsi="Arial" w:cs="Arial"/>
          <w:sz w:val="20"/>
          <w:szCs w:val="20"/>
        </w:rPr>
        <w:t>Pogge</w:t>
      </w:r>
      <w:proofErr w:type="spellEnd"/>
      <w:r w:rsidRPr="003C6B5F">
        <w:rPr>
          <w:rFonts w:ascii="Arial" w:hAnsi="Arial" w:cs="Arial"/>
          <w:sz w:val="20"/>
          <w:szCs w:val="20"/>
        </w:rPr>
        <w:t>, supra note 9; Nickel, supra note 9; Griffin, supra note 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Cathérine</w:t>
      </w:r>
      <w:proofErr w:type="spellEnd"/>
      <w:r w:rsidRPr="003C6B5F">
        <w:rPr>
          <w:rFonts w:ascii="Arial" w:hAnsi="Arial" w:cs="Arial"/>
          <w:sz w:val="20"/>
          <w:szCs w:val="20"/>
        </w:rPr>
        <w:t xml:space="preserve"> </w:t>
      </w:r>
      <w:proofErr w:type="spellStart"/>
      <w:r w:rsidRPr="003C6B5F">
        <w:rPr>
          <w:rFonts w:ascii="Arial" w:hAnsi="Arial" w:cs="Arial"/>
          <w:sz w:val="20"/>
          <w:szCs w:val="20"/>
        </w:rPr>
        <w:t>Dupré</w:t>
      </w:r>
      <w:proofErr w:type="spellEnd"/>
      <w:r w:rsidRPr="003C6B5F">
        <w:rPr>
          <w:rFonts w:ascii="Arial" w:hAnsi="Arial" w:cs="Arial"/>
          <w:sz w:val="20"/>
          <w:szCs w:val="20"/>
        </w:rPr>
        <w:t>, Human Dignity in Europe: A Foundational Principle, 19 Eur. Pub. L. 319 (2013).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See </w:t>
      </w:r>
      <w:proofErr w:type="spellStart"/>
      <w:r w:rsidRPr="003C6B5F">
        <w:rPr>
          <w:rFonts w:ascii="Arial" w:hAnsi="Arial" w:cs="Arial"/>
          <w:sz w:val="20"/>
          <w:szCs w:val="20"/>
        </w:rPr>
        <w:t>Martti</w:t>
      </w:r>
      <w:proofErr w:type="spellEnd"/>
      <w:r w:rsidRPr="003C6B5F">
        <w:rPr>
          <w:rFonts w:ascii="Arial" w:hAnsi="Arial" w:cs="Arial"/>
          <w:sz w:val="20"/>
          <w:szCs w:val="20"/>
        </w:rPr>
        <w:t xml:space="preserve"> </w:t>
      </w:r>
      <w:proofErr w:type="spellStart"/>
      <w:r w:rsidRPr="003C6B5F">
        <w:rPr>
          <w:rFonts w:ascii="Arial" w:hAnsi="Arial" w:cs="Arial"/>
          <w:sz w:val="20"/>
          <w:szCs w:val="20"/>
        </w:rPr>
        <w:t>Koskenniemi</w:t>
      </w:r>
      <w:proofErr w:type="spellEnd"/>
      <w:r w:rsidRPr="003C6B5F">
        <w:rPr>
          <w:rFonts w:ascii="Arial" w:hAnsi="Arial" w:cs="Arial"/>
          <w:sz w:val="20"/>
          <w:szCs w:val="20"/>
        </w:rPr>
        <w:t xml:space="preserve">, Human Rights Mainstreaming as a Strategy for Institutional Power, </w:t>
      </w:r>
      <w:proofErr w:type="gramStart"/>
      <w:r w:rsidRPr="003C6B5F">
        <w:rPr>
          <w:rFonts w:ascii="Arial" w:hAnsi="Arial" w:cs="Arial"/>
          <w:sz w:val="20"/>
          <w:szCs w:val="20"/>
        </w:rPr>
        <w:t>1 Humanity</w:t>
      </w:r>
      <w:proofErr w:type="gramEnd"/>
      <w:r w:rsidRPr="003C6B5F">
        <w:rPr>
          <w:rFonts w:ascii="Arial" w:hAnsi="Arial" w:cs="Arial"/>
          <w:sz w:val="20"/>
          <w:szCs w:val="20"/>
        </w:rPr>
        <w:t xml:space="preserve"> 47 (2010).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From the vast body of literature see only Roland Barthes, Mythologies (1957); Lévi-Strauss, supra note 20; Claude Lévi-Strauss, </w:t>
      </w:r>
      <w:proofErr w:type="spellStart"/>
      <w:r w:rsidRPr="003C6B5F">
        <w:rPr>
          <w:rFonts w:ascii="Arial" w:hAnsi="Arial" w:cs="Arial"/>
          <w:sz w:val="20"/>
          <w:szCs w:val="20"/>
        </w:rPr>
        <w:t>Totemism</w:t>
      </w:r>
      <w:proofErr w:type="spellEnd"/>
      <w:r w:rsidRPr="003C6B5F">
        <w:rPr>
          <w:rFonts w:ascii="Arial" w:hAnsi="Arial" w:cs="Arial"/>
          <w:sz w:val="20"/>
          <w:szCs w:val="20"/>
        </w:rPr>
        <w:t xml:space="preserve"> (1963); and Hans </w:t>
      </w:r>
      <w:proofErr w:type="spellStart"/>
      <w:r w:rsidRPr="003C6B5F">
        <w:rPr>
          <w:rFonts w:ascii="Arial" w:hAnsi="Arial" w:cs="Arial"/>
          <w:sz w:val="20"/>
          <w:szCs w:val="20"/>
        </w:rPr>
        <w:t>Blumenberg</w:t>
      </w:r>
      <w:proofErr w:type="spellEnd"/>
      <w:r w:rsidRPr="003C6B5F">
        <w:rPr>
          <w:rFonts w:ascii="Arial" w:hAnsi="Arial" w:cs="Arial"/>
          <w:sz w:val="20"/>
          <w:szCs w:val="20"/>
        </w:rPr>
        <w:t xml:space="preserve">, </w:t>
      </w:r>
      <w:proofErr w:type="spellStart"/>
      <w:r w:rsidRPr="003C6B5F">
        <w:rPr>
          <w:rFonts w:ascii="Arial" w:hAnsi="Arial" w:cs="Arial"/>
          <w:sz w:val="20"/>
          <w:szCs w:val="20"/>
        </w:rPr>
        <w:t>Arbeit</w:t>
      </w:r>
      <w:proofErr w:type="spellEnd"/>
      <w:r w:rsidRPr="003C6B5F">
        <w:rPr>
          <w:rFonts w:ascii="Arial" w:hAnsi="Arial" w:cs="Arial"/>
          <w:sz w:val="20"/>
          <w:szCs w:val="20"/>
        </w:rPr>
        <w:t xml:space="preserve"> am Mythos (1979).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For a fascinating analysis of US mythology, </w:t>
      </w:r>
      <w:proofErr w:type="spellStart"/>
      <w:r w:rsidRPr="003C6B5F">
        <w:rPr>
          <w:rFonts w:ascii="Arial" w:hAnsi="Arial" w:cs="Arial"/>
          <w:sz w:val="20"/>
          <w:szCs w:val="20"/>
        </w:rPr>
        <w:t>seeRichard</w:t>
      </w:r>
      <w:proofErr w:type="spellEnd"/>
      <w:r w:rsidRPr="003C6B5F">
        <w:rPr>
          <w:rFonts w:ascii="Arial" w:hAnsi="Arial" w:cs="Arial"/>
          <w:sz w:val="20"/>
          <w:szCs w:val="20"/>
        </w:rPr>
        <w:t xml:space="preserve"> </w:t>
      </w:r>
      <w:proofErr w:type="spellStart"/>
      <w:r w:rsidRPr="003C6B5F">
        <w:rPr>
          <w:rFonts w:ascii="Arial" w:hAnsi="Arial" w:cs="Arial"/>
          <w:sz w:val="20"/>
          <w:szCs w:val="20"/>
        </w:rPr>
        <w:t>Slotkin</w:t>
      </w:r>
      <w:proofErr w:type="spellEnd"/>
      <w:r w:rsidRPr="003C6B5F">
        <w:rPr>
          <w:rFonts w:ascii="Arial" w:hAnsi="Arial" w:cs="Arial"/>
          <w:sz w:val="20"/>
          <w:szCs w:val="20"/>
        </w:rPr>
        <w:t xml:space="preserve">, Regeneration </w:t>
      </w:r>
      <w:proofErr w:type="gramStart"/>
      <w:r w:rsidRPr="003C6B5F">
        <w:rPr>
          <w:rFonts w:ascii="Arial" w:hAnsi="Arial" w:cs="Arial"/>
          <w:sz w:val="20"/>
          <w:szCs w:val="20"/>
        </w:rPr>
        <w:t>Through</w:t>
      </w:r>
      <w:proofErr w:type="gramEnd"/>
      <w:r w:rsidRPr="003C6B5F">
        <w:rPr>
          <w:rFonts w:ascii="Arial" w:hAnsi="Arial" w:cs="Arial"/>
          <w:sz w:val="20"/>
          <w:szCs w:val="20"/>
        </w:rPr>
        <w:t xml:space="preserve"> Violence. </w:t>
      </w:r>
      <w:proofErr w:type="gramStart"/>
      <w:r w:rsidRPr="003C6B5F">
        <w:rPr>
          <w:rFonts w:ascii="Arial" w:hAnsi="Arial" w:cs="Arial"/>
          <w:sz w:val="20"/>
          <w:szCs w:val="20"/>
        </w:rPr>
        <w:t>The Mythology of the American Frontier, 1600–1860 (1973).</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And therefore the focus on the dark side of human rights and their relationship to narrative and myth should not be read as a denial of their achievements.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59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proofErr w:type="gramStart"/>
      <w:r w:rsidRPr="003C6B5F">
        <w:rPr>
          <w:rFonts w:ascii="Arial" w:hAnsi="Arial" w:cs="Arial"/>
          <w:sz w:val="20"/>
          <w:szCs w:val="20"/>
        </w:rPr>
        <w:t>SeeMartti</w:t>
      </w:r>
      <w:proofErr w:type="spellEnd"/>
      <w:r w:rsidRPr="003C6B5F">
        <w:rPr>
          <w:rFonts w:ascii="Arial" w:hAnsi="Arial" w:cs="Arial"/>
          <w:sz w:val="20"/>
          <w:szCs w:val="20"/>
        </w:rPr>
        <w:t xml:space="preserve"> </w:t>
      </w:r>
      <w:proofErr w:type="spellStart"/>
      <w:r w:rsidRPr="003C6B5F">
        <w:rPr>
          <w:rFonts w:ascii="Arial" w:hAnsi="Arial" w:cs="Arial"/>
          <w:sz w:val="20"/>
          <w:szCs w:val="20"/>
        </w:rPr>
        <w:t>Koskenniemi</w:t>
      </w:r>
      <w:proofErr w:type="spellEnd"/>
      <w:r w:rsidRPr="003C6B5F">
        <w:rPr>
          <w:rFonts w:ascii="Arial" w:hAnsi="Arial" w:cs="Arial"/>
          <w:sz w:val="20"/>
          <w:szCs w:val="20"/>
        </w:rPr>
        <w:t>, From Apology to Utopia.</w:t>
      </w:r>
      <w:proofErr w:type="gramEnd"/>
      <w:r w:rsidRPr="003C6B5F">
        <w:rPr>
          <w:rFonts w:ascii="Arial" w:hAnsi="Arial" w:cs="Arial"/>
          <w:sz w:val="20"/>
          <w:szCs w:val="20"/>
        </w:rPr>
        <w:t xml:space="preserve"> </w:t>
      </w:r>
      <w:proofErr w:type="gramStart"/>
      <w:r w:rsidRPr="003C6B5F">
        <w:rPr>
          <w:rFonts w:ascii="Arial" w:hAnsi="Arial" w:cs="Arial"/>
          <w:sz w:val="20"/>
          <w:szCs w:val="20"/>
        </w:rPr>
        <w:t>The Structure of International Legal Argument (2d ed. 2005).</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60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 xml:space="preserve">For a most informative narrative of the various constitutional projects, </w:t>
      </w:r>
      <w:proofErr w:type="spellStart"/>
      <w:r w:rsidRPr="003C6B5F">
        <w:rPr>
          <w:rFonts w:ascii="Arial" w:hAnsi="Arial" w:cs="Arial"/>
          <w:sz w:val="20"/>
          <w:szCs w:val="20"/>
        </w:rPr>
        <w:t>seeMarcel</w:t>
      </w:r>
      <w:proofErr w:type="spellEnd"/>
      <w:r w:rsidRPr="003C6B5F">
        <w:rPr>
          <w:rFonts w:ascii="Arial" w:hAnsi="Arial" w:cs="Arial"/>
          <w:sz w:val="20"/>
          <w:szCs w:val="20"/>
        </w:rPr>
        <w:t xml:space="preserve"> </w:t>
      </w:r>
      <w:proofErr w:type="spellStart"/>
      <w:r w:rsidRPr="003C6B5F">
        <w:rPr>
          <w:rFonts w:ascii="Arial" w:hAnsi="Arial" w:cs="Arial"/>
          <w:sz w:val="20"/>
          <w:szCs w:val="20"/>
        </w:rPr>
        <w:t>Gauchet</w:t>
      </w:r>
      <w:proofErr w:type="spellEnd"/>
      <w:r w:rsidRPr="003C6B5F">
        <w:rPr>
          <w:rFonts w:ascii="Arial" w:hAnsi="Arial" w:cs="Arial"/>
          <w:sz w:val="20"/>
          <w:szCs w:val="20"/>
        </w:rPr>
        <w:t xml:space="preserve">, La </w:t>
      </w:r>
      <w:proofErr w:type="spellStart"/>
      <w:r w:rsidRPr="003C6B5F">
        <w:rPr>
          <w:rFonts w:ascii="Arial" w:hAnsi="Arial" w:cs="Arial"/>
          <w:sz w:val="20"/>
          <w:szCs w:val="20"/>
        </w:rPr>
        <w:t>Révolution</w:t>
      </w:r>
      <w:proofErr w:type="spellEnd"/>
      <w:r w:rsidRPr="003C6B5F">
        <w:rPr>
          <w:rFonts w:ascii="Arial" w:hAnsi="Arial" w:cs="Arial"/>
          <w:sz w:val="20"/>
          <w:szCs w:val="20"/>
        </w:rPr>
        <w:t xml:space="preserve"> des droits de </w:t>
      </w:r>
      <w:proofErr w:type="spellStart"/>
      <w:r w:rsidRPr="003C6B5F">
        <w:rPr>
          <w:rFonts w:ascii="Arial" w:hAnsi="Arial" w:cs="Arial"/>
          <w:sz w:val="20"/>
          <w:szCs w:val="20"/>
        </w:rPr>
        <w:t>l’homme</w:t>
      </w:r>
      <w:proofErr w:type="spellEnd"/>
      <w:r w:rsidRPr="003C6B5F">
        <w:rPr>
          <w:rFonts w:ascii="Arial" w:hAnsi="Arial" w:cs="Arial"/>
          <w:sz w:val="20"/>
          <w:szCs w:val="20"/>
        </w:rPr>
        <w:t xml:space="preserve"> (1989).</w:t>
      </w:r>
      <w:proofErr w:type="gramEnd"/>
      <w:r w:rsidRPr="003C6B5F">
        <w:rPr>
          <w:rFonts w:ascii="Arial" w:hAnsi="Arial" w:cs="Arial"/>
          <w:sz w:val="20"/>
          <w:szCs w:val="20"/>
        </w:rPr>
        <w:t xml:space="preserve"> Michael P. Fitzsimmons gives a detailed account of the debates in the National Assembly 1789–1791: </w:t>
      </w:r>
      <w:proofErr w:type="spellStart"/>
      <w:r w:rsidRPr="003C6B5F">
        <w:rPr>
          <w:rFonts w:ascii="Arial" w:hAnsi="Arial" w:cs="Arial"/>
          <w:sz w:val="20"/>
          <w:szCs w:val="20"/>
        </w:rPr>
        <w:t>seeThe</w:t>
      </w:r>
      <w:proofErr w:type="spellEnd"/>
      <w:r w:rsidRPr="003C6B5F">
        <w:rPr>
          <w:rFonts w:ascii="Arial" w:hAnsi="Arial" w:cs="Arial"/>
          <w:sz w:val="20"/>
          <w:szCs w:val="20"/>
        </w:rPr>
        <w:t xml:space="preserve"> Remaking of France. </w:t>
      </w:r>
      <w:proofErr w:type="gramStart"/>
      <w:r w:rsidRPr="003C6B5F">
        <w:rPr>
          <w:rFonts w:ascii="Arial" w:hAnsi="Arial" w:cs="Arial"/>
          <w:sz w:val="20"/>
          <w:szCs w:val="20"/>
        </w:rPr>
        <w:t>The National Assembly and the Constitution of 1791 (1994).</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61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SeeC.L.R</w:t>
      </w:r>
      <w:proofErr w:type="spellEnd"/>
      <w:r w:rsidRPr="003C6B5F">
        <w:rPr>
          <w:rFonts w:ascii="Arial" w:hAnsi="Arial" w:cs="Arial"/>
          <w:sz w:val="20"/>
          <w:szCs w:val="20"/>
        </w:rPr>
        <w:t xml:space="preserve">. James, </w:t>
      </w:r>
      <w:proofErr w:type="gramStart"/>
      <w:r w:rsidRPr="003C6B5F">
        <w:rPr>
          <w:rFonts w:ascii="Arial" w:hAnsi="Arial" w:cs="Arial"/>
          <w:sz w:val="20"/>
          <w:szCs w:val="20"/>
        </w:rPr>
        <w:t>The</w:t>
      </w:r>
      <w:proofErr w:type="gramEnd"/>
      <w:r w:rsidRPr="003C6B5F">
        <w:rPr>
          <w:rFonts w:ascii="Arial" w:hAnsi="Arial" w:cs="Arial"/>
          <w:sz w:val="20"/>
          <w:szCs w:val="20"/>
        </w:rPr>
        <w:t xml:space="preserve"> Black Jacobins. Toussaint </w:t>
      </w:r>
      <w:proofErr w:type="spellStart"/>
      <w:r w:rsidRPr="003C6B5F">
        <w:rPr>
          <w:rFonts w:ascii="Arial" w:hAnsi="Arial" w:cs="Arial"/>
          <w:sz w:val="20"/>
          <w:szCs w:val="20"/>
        </w:rPr>
        <w:t>l’Ouverture</w:t>
      </w:r>
      <w:proofErr w:type="spellEnd"/>
      <w:r w:rsidRPr="003C6B5F">
        <w:rPr>
          <w:rFonts w:ascii="Arial" w:hAnsi="Arial" w:cs="Arial"/>
          <w:sz w:val="20"/>
          <w:szCs w:val="20"/>
        </w:rPr>
        <w:t xml:space="preserve"> and the San Domingo Revolution (rev. ed. 1938) and Marks, supra note 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62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See, e.g., the constitutions of Bolivia (2009), China (1982), Croatia (1990), East Timor (2002), Myanmar (2008), and Vietnam (1992).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63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Günter Frankenberg, </w:t>
      </w:r>
      <w:proofErr w:type="gramStart"/>
      <w:r w:rsidRPr="003C6B5F">
        <w:rPr>
          <w:rFonts w:ascii="Arial" w:hAnsi="Arial" w:cs="Arial"/>
          <w:sz w:val="20"/>
          <w:szCs w:val="20"/>
        </w:rPr>
        <w:t>The</w:t>
      </w:r>
      <w:proofErr w:type="gramEnd"/>
      <w:r w:rsidRPr="003C6B5F">
        <w:rPr>
          <w:rFonts w:ascii="Arial" w:hAnsi="Arial" w:cs="Arial"/>
          <w:sz w:val="20"/>
          <w:szCs w:val="20"/>
        </w:rPr>
        <w:t xml:space="preserve"> Return of the Contract: Problems and Pitfalls of European Constitutionalism, 6(3) Eur. L.J. 257 (2000), and Günter Frankenberg, Constitutions as Commodities. </w:t>
      </w:r>
      <w:proofErr w:type="gramStart"/>
      <w:r w:rsidRPr="003C6B5F">
        <w:rPr>
          <w:rFonts w:ascii="Arial" w:hAnsi="Arial" w:cs="Arial"/>
          <w:sz w:val="20"/>
          <w:szCs w:val="20"/>
        </w:rPr>
        <w:t>Notes on a Theory of Transfer, in Order from Transfer, supra note 28, 1.</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64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In a similar tone and rhetoric, the authors of the Liberian Declaration of independence (1847) presented their narrative of liberation and, incidentally, a different version of the “the country which gave them no protection”—a story usually not told by the US Founding Fathers. </w:t>
      </w:r>
      <w:proofErr w:type="spellStart"/>
      <w:r w:rsidRPr="003C6B5F">
        <w:rPr>
          <w:rFonts w:ascii="Arial" w:hAnsi="Arial" w:cs="Arial"/>
          <w:sz w:val="20"/>
          <w:szCs w:val="20"/>
        </w:rPr>
        <w:t>SeeCharles</w:t>
      </w:r>
      <w:proofErr w:type="spellEnd"/>
      <w:r w:rsidRPr="003C6B5F">
        <w:rPr>
          <w:rFonts w:ascii="Arial" w:hAnsi="Arial" w:cs="Arial"/>
          <w:sz w:val="20"/>
          <w:szCs w:val="20"/>
        </w:rPr>
        <w:t xml:space="preserve"> H. </w:t>
      </w:r>
      <w:proofErr w:type="spellStart"/>
      <w:r w:rsidRPr="003C6B5F">
        <w:rPr>
          <w:rFonts w:ascii="Arial" w:hAnsi="Arial" w:cs="Arial"/>
          <w:sz w:val="20"/>
          <w:szCs w:val="20"/>
        </w:rPr>
        <w:t>Huberich</w:t>
      </w:r>
      <w:proofErr w:type="spellEnd"/>
      <w:r w:rsidRPr="003C6B5F">
        <w:rPr>
          <w:rFonts w:ascii="Arial" w:hAnsi="Arial" w:cs="Arial"/>
          <w:sz w:val="20"/>
          <w:szCs w:val="20"/>
        </w:rPr>
        <w:t xml:space="preserve">, </w:t>
      </w:r>
      <w:proofErr w:type="gramStart"/>
      <w:r w:rsidRPr="003C6B5F">
        <w:rPr>
          <w:rFonts w:ascii="Arial" w:hAnsi="Arial" w:cs="Arial"/>
          <w:sz w:val="20"/>
          <w:szCs w:val="20"/>
        </w:rPr>
        <w:t>The</w:t>
      </w:r>
      <w:proofErr w:type="gramEnd"/>
      <w:r w:rsidRPr="003C6B5F">
        <w:rPr>
          <w:rFonts w:ascii="Arial" w:hAnsi="Arial" w:cs="Arial"/>
          <w:sz w:val="20"/>
          <w:szCs w:val="20"/>
        </w:rPr>
        <w:t xml:space="preserve"> Political and Legislative History of Liberia (1947).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65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A Declaration by the Representatives of the United States of America in General Congress Assembled, July 4, 1779—emphasis added.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66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See, e.g., the justification of violence, brutality and subjugation in the name of a “superior race” (Roberto Esposito, </w:t>
      </w:r>
      <w:proofErr w:type="spellStart"/>
      <w:r w:rsidRPr="003C6B5F">
        <w:rPr>
          <w:rFonts w:ascii="Arial" w:hAnsi="Arial" w:cs="Arial"/>
          <w:sz w:val="20"/>
          <w:szCs w:val="20"/>
        </w:rPr>
        <w:t>Biopolitics</w:t>
      </w:r>
      <w:proofErr w:type="spellEnd"/>
      <w:r w:rsidRPr="003C6B5F">
        <w:rPr>
          <w:rFonts w:ascii="Arial" w:hAnsi="Arial" w:cs="Arial"/>
          <w:sz w:val="20"/>
          <w:szCs w:val="20"/>
        </w:rPr>
        <w:t xml:space="preserve"> and Philosophy (2008)) or religion (R. Scott Appleby, The Ambivalence of the Sacred: Religion, Violence, and Reconciliation (2000) or Robert Pape, Dying to Win: The Strategic Logic of Suicide Terrorism (2006)).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67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This trinity is generally credited to General Secretary Jiang Zemin’s concept of the Communist Party (2002) representing the developmental needs of China’s advanced productive capacity, the progressive direction of its advanced culture, and the fundamental interests of the broad majority of the people of all nationalities in China.</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68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For an overview of such narratives, see the contributions to Internationalist Doctrines </w:t>
      </w:r>
      <w:proofErr w:type="gramStart"/>
      <w:r w:rsidRPr="003C6B5F">
        <w:rPr>
          <w:rFonts w:ascii="Arial" w:hAnsi="Arial" w:cs="Arial"/>
          <w:sz w:val="20"/>
          <w:szCs w:val="20"/>
        </w:rPr>
        <w:t>During</w:t>
      </w:r>
      <w:proofErr w:type="gramEnd"/>
      <w:r w:rsidRPr="003C6B5F">
        <w:rPr>
          <w:rFonts w:ascii="Arial" w:hAnsi="Arial" w:cs="Arial"/>
          <w:sz w:val="20"/>
          <w:szCs w:val="20"/>
        </w:rPr>
        <w:t xml:space="preserve"> the Years of Real Communism in Europe (Emmanuelle </w:t>
      </w:r>
      <w:proofErr w:type="spellStart"/>
      <w:r w:rsidRPr="003C6B5F">
        <w:rPr>
          <w:rFonts w:ascii="Arial" w:hAnsi="Arial" w:cs="Arial"/>
          <w:sz w:val="20"/>
          <w:szCs w:val="20"/>
        </w:rPr>
        <w:t>Jouannet</w:t>
      </w:r>
      <w:proofErr w:type="spellEnd"/>
      <w:r w:rsidRPr="003C6B5F">
        <w:rPr>
          <w:rFonts w:ascii="Arial" w:hAnsi="Arial" w:cs="Arial"/>
          <w:sz w:val="20"/>
          <w:szCs w:val="20"/>
        </w:rPr>
        <w:t xml:space="preserve"> &amp; Iulia </w:t>
      </w:r>
      <w:proofErr w:type="spellStart"/>
      <w:r w:rsidRPr="003C6B5F">
        <w:rPr>
          <w:rFonts w:ascii="Arial" w:hAnsi="Arial" w:cs="Arial"/>
          <w:sz w:val="20"/>
          <w:szCs w:val="20"/>
        </w:rPr>
        <w:t>Motoc</w:t>
      </w:r>
      <w:proofErr w:type="spellEnd"/>
      <w:r w:rsidRPr="003C6B5F">
        <w:rPr>
          <w:rFonts w:ascii="Arial" w:hAnsi="Arial" w:cs="Arial"/>
          <w:sz w:val="20"/>
          <w:szCs w:val="20"/>
        </w:rPr>
        <w:t xml:space="preserve"> eds., 2012).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69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I borrow this term from Joel Andreas, The Rise of the Red Engineers. </w:t>
      </w:r>
      <w:proofErr w:type="gramStart"/>
      <w:r w:rsidRPr="003C6B5F">
        <w:rPr>
          <w:rFonts w:ascii="Arial" w:hAnsi="Arial" w:cs="Arial"/>
          <w:sz w:val="20"/>
          <w:szCs w:val="20"/>
        </w:rPr>
        <w:t>The Cultural Revolution and the Origins of China’s New Class (2009).</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70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Frankenberg, supra note 37, at </w:t>
      </w:r>
      <w:proofErr w:type="spellStart"/>
      <w:r w:rsidRPr="003C6B5F">
        <w:rPr>
          <w:rFonts w:ascii="Arial" w:hAnsi="Arial" w:cs="Arial"/>
          <w:sz w:val="20"/>
          <w:szCs w:val="20"/>
        </w:rPr>
        <w:t>ch.</w:t>
      </w:r>
      <w:proofErr w:type="spellEnd"/>
      <w:r w:rsidRPr="003C6B5F">
        <w:rPr>
          <w:rFonts w:ascii="Arial" w:hAnsi="Arial" w:cs="Arial"/>
          <w:sz w:val="20"/>
          <w:szCs w:val="20"/>
        </w:rPr>
        <w:t xml:space="preserve"> I; David Kennedy, Challenging Expert Rule: The Politics of Global Governance, 27 Sydney J. Int’l L. 5 (205).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71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In so far as human rights stories combine their legal message with a political project, they are vulnerable to legal and political demands that may be addressed to a regime to redeem a given promise. Consequently, a justificatory story of rights work in the context of the way things are may come into conflict with new justificatory claims of how they should work. Such conflict may build up considerable tension, lead to disillusionment and </w:t>
      </w:r>
      <w:proofErr w:type="spellStart"/>
      <w:r w:rsidRPr="003C6B5F">
        <w:rPr>
          <w:rFonts w:ascii="Arial" w:hAnsi="Arial" w:cs="Arial"/>
          <w:sz w:val="20"/>
          <w:szCs w:val="20"/>
        </w:rPr>
        <w:t>delegitimation</w:t>
      </w:r>
      <w:proofErr w:type="spellEnd"/>
      <w:r w:rsidRPr="003C6B5F">
        <w:rPr>
          <w:rFonts w:ascii="Arial" w:hAnsi="Arial" w:cs="Arial"/>
          <w:sz w:val="20"/>
          <w:szCs w:val="20"/>
        </w:rPr>
        <w:t xml:space="preserve"> of an old normative regime and set in motion a dynamics, which, in the course of events, may create a new or change an old one.</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72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One may safely assume that any mention of the fate of the Native Americans in the Declaration of Independence or the slightest hint at past economic disasters, the red terror, and their many millions of victims in China would have defeated any educational purpose the authors of the Declaration and the Chinese preamble may have had in mind.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73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For an overview over the complex discourse on ideology and the possible meanings of ideology, </w:t>
      </w:r>
      <w:proofErr w:type="spellStart"/>
      <w:r w:rsidRPr="003C6B5F">
        <w:rPr>
          <w:rFonts w:ascii="Arial" w:hAnsi="Arial" w:cs="Arial"/>
          <w:sz w:val="20"/>
          <w:szCs w:val="20"/>
        </w:rPr>
        <w:t>seeEagleton</w:t>
      </w:r>
      <w:proofErr w:type="spellEnd"/>
      <w:r w:rsidRPr="003C6B5F">
        <w:rPr>
          <w:rFonts w:ascii="Arial" w:hAnsi="Arial" w:cs="Arial"/>
          <w:sz w:val="20"/>
          <w:szCs w:val="20"/>
        </w:rPr>
        <w:t>, supra note 3, at 27.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74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See John T. T. </w:t>
      </w:r>
      <w:proofErr w:type="spellStart"/>
      <w:r w:rsidRPr="003C6B5F">
        <w:rPr>
          <w:rFonts w:ascii="Arial" w:hAnsi="Arial" w:cs="Arial"/>
          <w:sz w:val="20"/>
          <w:szCs w:val="20"/>
        </w:rPr>
        <w:t>Jost</w:t>
      </w:r>
      <w:proofErr w:type="spellEnd"/>
      <w:r w:rsidRPr="003C6B5F">
        <w:rPr>
          <w:rFonts w:ascii="Arial" w:hAnsi="Arial" w:cs="Arial"/>
          <w:sz w:val="20"/>
          <w:szCs w:val="20"/>
        </w:rPr>
        <w:t xml:space="preserve">, Alison </w:t>
      </w:r>
      <w:proofErr w:type="spellStart"/>
      <w:r w:rsidRPr="003C6B5F">
        <w:rPr>
          <w:rFonts w:ascii="Arial" w:hAnsi="Arial" w:cs="Arial"/>
          <w:sz w:val="20"/>
          <w:szCs w:val="20"/>
        </w:rPr>
        <w:t>Ledgerwood</w:t>
      </w:r>
      <w:proofErr w:type="spellEnd"/>
      <w:r w:rsidRPr="003C6B5F">
        <w:rPr>
          <w:rFonts w:ascii="Arial" w:hAnsi="Arial" w:cs="Arial"/>
          <w:sz w:val="20"/>
          <w:szCs w:val="20"/>
        </w:rPr>
        <w:t xml:space="preserve"> &amp; Curtis D. Hardin, Shared Reality, System Justification and the Relational Basis of Ideological Beliefs, 2(1) Social &amp; Personality Psych. Compass 171, 171–172 (2008).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75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For a thoughtful analysis and classification, see </w:t>
      </w:r>
      <w:proofErr w:type="spellStart"/>
      <w:r w:rsidRPr="003C6B5F">
        <w:rPr>
          <w:rFonts w:ascii="Arial" w:hAnsi="Arial" w:cs="Arial"/>
          <w:sz w:val="20"/>
          <w:szCs w:val="20"/>
        </w:rPr>
        <w:t>Makau</w:t>
      </w:r>
      <w:proofErr w:type="spellEnd"/>
      <w:r w:rsidRPr="003C6B5F">
        <w:rPr>
          <w:rFonts w:ascii="Arial" w:hAnsi="Arial" w:cs="Arial"/>
          <w:sz w:val="20"/>
          <w:szCs w:val="20"/>
        </w:rPr>
        <w:t xml:space="preserve"> </w:t>
      </w:r>
      <w:proofErr w:type="spellStart"/>
      <w:proofErr w:type="gramStart"/>
      <w:r w:rsidRPr="003C6B5F">
        <w:rPr>
          <w:rFonts w:ascii="Arial" w:hAnsi="Arial" w:cs="Arial"/>
          <w:sz w:val="20"/>
          <w:szCs w:val="20"/>
        </w:rPr>
        <w:t>wa</w:t>
      </w:r>
      <w:proofErr w:type="spellEnd"/>
      <w:proofErr w:type="gramEnd"/>
      <w:r w:rsidRPr="003C6B5F">
        <w:rPr>
          <w:rFonts w:ascii="Arial" w:hAnsi="Arial" w:cs="Arial"/>
          <w:sz w:val="20"/>
          <w:szCs w:val="20"/>
        </w:rPr>
        <w:t xml:space="preserve"> </w:t>
      </w:r>
      <w:proofErr w:type="spellStart"/>
      <w:r w:rsidRPr="003C6B5F">
        <w:rPr>
          <w:rFonts w:ascii="Arial" w:hAnsi="Arial" w:cs="Arial"/>
          <w:sz w:val="20"/>
          <w:szCs w:val="20"/>
        </w:rPr>
        <w:t>Mutua</w:t>
      </w:r>
      <w:proofErr w:type="spellEnd"/>
      <w:r w:rsidRPr="003C6B5F">
        <w:rPr>
          <w:rFonts w:ascii="Arial" w:hAnsi="Arial" w:cs="Arial"/>
          <w:sz w:val="20"/>
          <w:szCs w:val="20"/>
        </w:rPr>
        <w:t>, The Ideology of Human Rights, 36 Va. J. Int’l L. 589 (1996).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76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Ron </w:t>
      </w:r>
      <w:proofErr w:type="spellStart"/>
      <w:r w:rsidRPr="003C6B5F">
        <w:rPr>
          <w:rFonts w:ascii="Arial" w:hAnsi="Arial" w:cs="Arial"/>
          <w:sz w:val="20"/>
          <w:szCs w:val="20"/>
        </w:rPr>
        <w:t>Eyerman</w:t>
      </w:r>
      <w:proofErr w:type="spellEnd"/>
      <w:r w:rsidRPr="003C6B5F">
        <w:rPr>
          <w:rFonts w:ascii="Arial" w:hAnsi="Arial" w:cs="Arial"/>
          <w:sz w:val="20"/>
          <w:szCs w:val="20"/>
        </w:rPr>
        <w:t xml:space="preserve">, False Consciousness and Ideology in Marxist Thought, 24 </w:t>
      </w:r>
      <w:proofErr w:type="spellStart"/>
      <w:r w:rsidRPr="003C6B5F">
        <w:rPr>
          <w:rFonts w:ascii="Arial" w:hAnsi="Arial" w:cs="Arial"/>
          <w:sz w:val="20"/>
          <w:szCs w:val="20"/>
        </w:rPr>
        <w:t>Acta</w:t>
      </w:r>
      <w:proofErr w:type="spellEnd"/>
      <w:r w:rsidRPr="003C6B5F">
        <w:rPr>
          <w:rFonts w:ascii="Arial" w:hAnsi="Arial" w:cs="Arial"/>
          <w:sz w:val="20"/>
          <w:szCs w:val="20"/>
        </w:rPr>
        <w:t xml:space="preserve"> </w:t>
      </w:r>
      <w:proofErr w:type="spellStart"/>
      <w:r w:rsidRPr="003C6B5F">
        <w:rPr>
          <w:rFonts w:ascii="Arial" w:hAnsi="Arial" w:cs="Arial"/>
          <w:sz w:val="20"/>
          <w:szCs w:val="20"/>
        </w:rPr>
        <w:t>Sociologica</w:t>
      </w:r>
      <w:proofErr w:type="spellEnd"/>
      <w:r w:rsidRPr="003C6B5F">
        <w:rPr>
          <w:rFonts w:ascii="Arial" w:hAnsi="Arial" w:cs="Arial"/>
          <w:sz w:val="20"/>
          <w:szCs w:val="20"/>
        </w:rPr>
        <w:t xml:space="preserve"> 43 (1981).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77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Jost</w:t>
      </w:r>
      <w:proofErr w:type="spellEnd"/>
      <w:r w:rsidRPr="003C6B5F">
        <w:rPr>
          <w:rFonts w:ascii="Arial" w:hAnsi="Arial" w:cs="Arial"/>
          <w:sz w:val="20"/>
          <w:szCs w:val="20"/>
        </w:rPr>
        <w:t xml:space="preserve"> et al., supra note 74, at 171.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78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proofErr w:type="gramStart"/>
      <w:r w:rsidRPr="003C6B5F">
        <w:rPr>
          <w:rFonts w:ascii="Arial" w:hAnsi="Arial" w:cs="Arial"/>
          <w:sz w:val="20"/>
          <w:szCs w:val="20"/>
        </w:rPr>
        <w:t>wa</w:t>
      </w:r>
      <w:proofErr w:type="spellEnd"/>
      <w:proofErr w:type="gramEnd"/>
      <w:r w:rsidRPr="003C6B5F">
        <w:rPr>
          <w:rFonts w:ascii="Arial" w:hAnsi="Arial" w:cs="Arial"/>
          <w:sz w:val="20"/>
          <w:szCs w:val="20"/>
        </w:rPr>
        <w:t xml:space="preserve"> </w:t>
      </w:r>
      <w:proofErr w:type="spellStart"/>
      <w:r w:rsidRPr="003C6B5F">
        <w:rPr>
          <w:rFonts w:ascii="Arial" w:hAnsi="Arial" w:cs="Arial"/>
          <w:sz w:val="20"/>
          <w:szCs w:val="20"/>
        </w:rPr>
        <w:t>Mutua</w:t>
      </w:r>
      <w:proofErr w:type="spellEnd"/>
      <w:r w:rsidRPr="003C6B5F">
        <w:rPr>
          <w:rFonts w:ascii="Arial" w:hAnsi="Arial" w:cs="Arial"/>
          <w:sz w:val="20"/>
          <w:szCs w:val="20"/>
        </w:rPr>
        <w:t>, supra note 75, at 601.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79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Costas </w:t>
      </w:r>
      <w:proofErr w:type="spellStart"/>
      <w:r w:rsidRPr="003C6B5F">
        <w:rPr>
          <w:rFonts w:ascii="Arial" w:hAnsi="Arial" w:cs="Arial"/>
          <w:sz w:val="20"/>
          <w:szCs w:val="20"/>
        </w:rPr>
        <w:t>Douzinas</w:t>
      </w:r>
      <w:proofErr w:type="spellEnd"/>
      <w:r w:rsidRPr="003C6B5F">
        <w:rPr>
          <w:rFonts w:ascii="Arial" w:hAnsi="Arial" w:cs="Arial"/>
          <w:sz w:val="20"/>
          <w:szCs w:val="20"/>
        </w:rPr>
        <w:t>, Human Rights and Empire 32 et seq. (2007).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80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Id.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81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Clifford Geertz, Local Knowledge: Fact and Law in Comparative Perspective, </w:t>
      </w:r>
      <w:proofErr w:type="spellStart"/>
      <w:r w:rsidRPr="003C6B5F">
        <w:rPr>
          <w:rFonts w:ascii="Arial" w:hAnsi="Arial" w:cs="Arial"/>
          <w:sz w:val="20"/>
          <w:szCs w:val="20"/>
        </w:rPr>
        <w:t>inClifford</w:t>
      </w:r>
      <w:proofErr w:type="spellEnd"/>
      <w:r w:rsidRPr="003C6B5F">
        <w:rPr>
          <w:rFonts w:ascii="Arial" w:hAnsi="Arial" w:cs="Arial"/>
          <w:sz w:val="20"/>
          <w:szCs w:val="20"/>
        </w:rPr>
        <w:t xml:space="preserve"> Geertz, Local Knowledge. </w:t>
      </w:r>
      <w:proofErr w:type="gramStart"/>
      <w:r w:rsidRPr="003C6B5F">
        <w:rPr>
          <w:rFonts w:ascii="Arial" w:hAnsi="Arial" w:cs="Arial"/>
          <w:sz w:val="20"/>
          <w:szCs w:val="20"/>
        </w:rPr>
        <w:t>Further Essays in Interpretive Anthropology 173 (3d ed. 2000).</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82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Id. at 174.</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83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Id. at 173.</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84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Renata </w:t>
      </w:r>
      <w:proofErr w:type="spellStart"/>
      <w:r w:rsidRPr="003C6B5F">
        <w:rPr>
          <w:rFonts w:ascii="Arial" w:hAnsi="Arial" w:cs="Arial"/>
          <w:sz w:val="20"/>
          <w:szCs w:val="20"/>
        </w:rPr>
        <w:t>Salecl</w:t>
      </w:r>
      <w:proofErr w:type="spellEnd"/>
      <w:r w:rsidRPr="003C6B5F">
        <w:rPr>
          <w:rFonts w:ascii="Arial" w:hAnsi="Arial" w:cs="Arial"/>
          <w:sz w:val="20"/>
          <w:szCs w:val="20"/>
        </w:rPr>
        <w:t xml:space="preserve">, </w:t>
      </w:r>
      <w:proofErr w:type="gramStart"/>
      <w:r w:rsidRPr="003C6B5F">
        <w:rPr>
          <w:rFonts w:ascii="Arial" w:hAnsi="Arial" w:cs="Arial"/>
          <w:sz w:val="20"/>
          <w:szCs w:val="20"/>
        </w:rPr>
        <w:t>The</w:t>
      </w:r>
      <w:proofErr w:type="gramEnd"/>
      <w:r w:rsidRPr="003C6B5F">
        <w:rPr>
          <w:rFonts w:ascii="Arial" w:hAnsi="Arial" w:cs="Arial"/>
          <w:sz w:val="20"/>
          <w:szCs w:val="20"/>
        </w:rPr>
        <w:t xml:space="preserve"> Spoils of Freedom. Psychoanalysis and Feminism </w:t>
      </w:r>
      <w:proofErr w:type="gramStart"/>
      <w:r w:rsidRPr="003C6B5F">
        <w:rPr>
          <w:rFonts w:ascii="Arial" w:hAnsi="Arial" w:cs="Arial"/>
          <w:sz w:val="20"/>
          <w:szCs w:val="20"/>
        </w:rPr>
        <w:t>After</w:t>
      </w:r>
      <w:proofErr w:type="gramEnd"/>
      <w:r w:rsidRPr="003C6B5F">
        <w:rPr>
          <w:rFonts w:ascii="Arial" w:hAnsi="Arial" w:cs="Arial"/>
          <w:sz w:val="20"/>
          <w:szCs w:val="20"/>
        </w:rPr>
        <w:t xml:space="preserve"> the Fall of Socialism 127 (1994).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85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Geertz, supra note 81, at 173.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86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For a different, yet related approach accentuating strategic choices, see </w:t>
      </w:r>
      <w:proofErr w:type="spellStart"/>
      <w:r w:rsidRPr="003C6B5F">
        <w:rPr>
          <w:rFonts w:ascii="Arial" w:hAnsi="Arial" w:cs="Arial"/>
          <w:sz w:val="20"/>
          <w:szCs w:val="20"/>
        </w:rPr>
        <w:t>Outi</w:t>
      </w:r>
      <w:proofErr w:type="spellEnd"/>
      <w:r w:rsidRPr="003C6B5F">
        <w:rPr>
          <w:rFonts w:ascii="Arial" w:hAnsi="Arial" w:cs="Arial"/>
          <w:sz w:val="20"/>
          <w:szCs w:val="20"/>
        </w:rPr>
        <w:t xml:space="preserve"> </w:t>
      </w:r>
      <w:proofErr w:type="spellStart"/>
      <w:r w:rsidRPr="003C6B5F">
        <w:rPr>
          <w:rFonts w:ascii="Arial" w:hAnsi="Arial" w:cs="Arial"/>
          <w:sz w:val="20"/>
          <w:szCs w:val="20"/>
        </w:rPr>
        <w:t>Korhonen</w:t>
      </w:r>
      <w:proofErr w:type="spellEnd"/>
      <w:r w:rsidRPr="003C6B5F">
        <w:rPr>
          <w:rFonts w:ascii="Arial" w:hAnsi="Arial" w:cs="Arial"/>
          <w:sz w:val="20"/>
          <w:szCs w:val="20"/>
        </w:rPr>
        <w:t>, On Strategizing Justiciability in International Law, 10 Finnish Y.B. Int’l L. 91 (1999).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87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SeeNiklas</w:t>
      </w:r>
      <w:proofErr w:type="spellEnd"/>
      <w:r w:rsidRPr="003C6B5F">
        <w:rPr>
          <w:rFonts w:ascii="Arial" w:hAnsi="Arial" w:cs="Arial"/>
          <w:sz w:val="20"/>
          <w:szCs w:val="20"/>
        </w:rPr>
        <w:t xml:space="preserve"> </w:t>
      </w:r>
      <w:proofErr w:type="spellStart"/>
      <w:r w:rsidRPr="003C6B5F">
        <w:rPr>
          <w:rFonts w:ascii="Arial" w:hAnsi="Arial" w:cs="Arial"/>
          <w:sz w:val="20"/>
          <w:szCs w:val="20"/>
        </w:rPr>
        <w:t>Luhmann</w:t>
      </w:r>
      <w:proofErr w:type="spellEnd"/>
      <w:r w:rsidRPr="003C6B5F">
        <w:rPr>
          <w:rFonts w:ascii="Arial" w:hAnsi="Arial" w:cs="Arial"/>
          <w:sz w:val="20"/>
          <w:szCs w:val="20"/>
        </w:rPr>
        <w:t xml:space="preserve">, </w:t>
      </w:r>
      <w:proofErr w:type="gramStart"/>
      <w:r w:rsidRPr="003C6B5F">
        <w:rPr>
          <w:rFonts w:ascii="Arial" w:hAnsi="Arial" w:cs="Arial"/>
          <w:sz w:val="20"/>
          <w:szCs w:val="20"/>
        </w:rPr>
        <w:t>A</w:t>
      </w:r>
      <w:proofErr w:type="gramEnd"/>
      <w:r w:rsidRPr="003C6B5F">
        <w:rPr>
          <w:rFonts w:ascii="Arial" w:hAnsi="Arial" w:cs="Arial"/>
          <w:sz w:val="20"/>
          <w:szCs w:val="20"/>
        </w:rPr>
        <w:t xml:space="preserve"> Sociological Theory of Law (1985).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88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proofErr w:type="gramStart"/>
      <w:r w:rsidRPr="003C6B5F">
        <w:rPr>
          <w:rFonts w:ascii="Arial" w:hAnsi="Arial" w:cs="Arial"/>
          <w:sz w:val="20"/>
          <w:szCs w:val="20"/>
        </w:rPr>
        <w:t>Bundesverfassungsgericht</w:t>
      </w:r>
      <w:proofErr w:type="spellEnd"/>
      <w:r w:rsidRPr="003C6B5F">
        <w:rPr>
          <w:rFonts w:ascii="Arial" w:hAnsi="Arial" w:cs="Arial"/>
          <w:sz w:val="20"/>
          <w:szCs w:val="20"/>
        </w:rPr>
        <w:t xml:space="preserve"> [</w:t>
      </w:r>
      <w:proofErr w:type="spellStart"/>
      <w:r w:rsidRPr="003C6B5F">
        <w:rPr>
          <w:rFonts w:ascii="Arial" w:hAnsi="Arial" w:cs="Arial"/>
          <w:sz w:val="20"/>
          <w:szCs w:val="20"/>
        </w:rPr>
        <w:t>BVerfG</w:t>
      </w:r>
      <w:proofErr w:type="spellEnd"/>
      <w:r w:rsidRPr="003C6B5F">
        <w:rPr>
          <w:rFonts w:ascii="Arial" w:hAnsi="Arial" w:cs="Arial"/>
          <w:sz w:val="20"/>
          <w:szCs w:val="20"/>
        </w:rPr>
        <w:t xml:space="preserve">] [Federal Constitutional Court] Feb. 22, 2011, 1 </w:t>
      </w:r>
      <w:proofErr w:type="spellStart"/>
      <w:r w:rsidRPr="003C6B5F">
        <w:rPr>
          <w:rFonts w:ascii="Arial" w:hAnsi="Arial" w:cs="Arial"/>
          <w:sz w:val="20"/>
          <w:szCs w:val="20"/>
        </w:rPr>
        <w:t>BvR</w:t>
      </w:r>
      <w:proofErr w:type="spellEnd"/>
      <w:r w:rsidRPr="003C6B5F">
        <w:rPr>
          <w:rFonts w:ascii="Arial" w:hAnsi="Arial" w:cs="Arial"/>
          <w:sz w:val="20"/>
          <w:szCs w:val="20"/>
        </w:rPr>
        <w:t xml:space="preserve"> 699/06 (128 </w:t>
      </w:r>
      <w:proofErr w:type="spellStart"/>
      <w:r w:rsidRPr="003C6B5F">
        <w:rPr>
          <w:rFonts w:ascii="Arial" w:hAnsi="Arial" w:cs="Arial"/>
          <w:sz w:val="20"/>
          <w:szCs w:val="20"/>
        </w:rPr>
        <w:t>BVerfGE</w:t>
      </w:r>
      <w:proofErr w:type="spellEnd"/>
      <w:r w:rsidRPr="003C6B5F">
        <w:rPr>
          <w:rFonts w:ascii="Arial" w:hAnsi="Arial" w:cs="Arial"/>
          <w:sz w:val="20"/>
          <w:szCs w:val="20"/>
        </w:rPr>
        <w:t xml:space="preserve"> 226/256—Frankfurt Airport).</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89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In the theoretical register introduced by </w:t>
      </w:r>
      <w:proofErr w:type="spellStart"/>
      <w:r w:rsidRPr="003C6B5F">
        <w:rPr>
          <w:rFonts w:ascii="Arial" w:hAnsi="Arial" w:cs="Arial"/>
          <w:sz w:val="20"/>
          <w:szCs w:val="20"/>
        </w:rPr>
        <w:t>Korhonen</w:t>
      </w:r>
      <w:proofErr w:type="spellEnd"/>
      <w:r w:rsidRPr="003C6B5F">
        <w:rPr>
          <w:rFonts w:ascii="Arial" w:hAnsi="Arial" w:cs="Arial"/>
          <w:sz w:val="20"/>
          <w:szCs w:val="20"/>
        </w:rPr>
        <w:t>, supra note 86.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90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 xml:space="preserve">128 </w:t>
      </w:r>
      <w:proofErr w:type="spellStart"/>
      <w:r w:rsidRPr="003C6B5F">
        <w:rPr>
          <w:rFonts w:ascii="Arial" w:hAnsi="Arial" w:cs="Arial"/>
          <w:sz w:val="20"/>
          <w:szCs w:val="20"/>
        </w:rPr>
        <w:t>BVerfGE</w:t>
      </w:r>
      <w:proofErr w:type="spellEnd"/>
      <w:r w:rsidRPr="003C6B5F">
        <w:rPr>
          <w:rFonts w:ascii="Arial" w:hAnsi="Arial" w:cs="Arial"/>
          <w:sz w:val="20"/>
          <w:szCs w:val="20"/>
        </w:rPr>
        <w:t xml:space="preserve"> 226/256—Frankfurt Airport.</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91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Douzinas</w:t>
      </w:r>
      <w:proofErr w:type="spellEnd"/>
      <w:r w:rsidRPr="003C6B5F">
        <w:rPr>
          <w:rFonts w:ascii="Arial" w:hAnsi="Arial" w:cs="Arial"/>
          <w:sz w:val="20"/>
          <w:szCs w:val="20"/>
        </w:rPr>
        <w:t>, supra note 79, at 49.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92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Korhonen</w:t>
      </w:r>
      <w:proofErr w:type="spellEnd"/>
      <w:r w:rsidRPr="003C6B5F">
        <w:rPr>
          <w:rFonts w:ascii="Arial" w:hAnsi="Arial" w:cs="Arial"/>
          <w:sz w:val="20"/>
          <w:szCs w:val="20"/>
        </w:rPr>
        <w:t>, supra note 86.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93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 xml:space="preserve">For critiques of </w:t>
      </w:r>
      <w:proofErr w:type="spellStart"/>
      <w:r w:rsidRPr="003C6B5F">
        <w:rPr>
          <w:rFonts w:ascii="Arial" w:hAnsi="Arial" w:cs="Arial"/>
          <w:sz w:val="20"/>
          <w:szCs w:val="20"/>
        </w:rPr>
        <w:t>parliamentarism</w:t>
      </w:r>
      <w:proofErr w:type="spellEnd"/>
      <w:r w:rsidRPr="003C6B5F">
        <w:rPr>
          <w:rFonts w:ascii="Arial" w:hAnsi="Arial" w:cs="Arial"/>
          <w:sz w:val="20"/>
          <w:szCs w:val="20"/>
        </w:rPr>
        <w:t xml:space="preserve">, </w:t>
      </w:r>
      <w:proofErr w:type="spellStart"/>
      <w:r w:rsidRPr="003C6B5F">
        <w:rPr>
          <w:rFonts w:ascii="Arial" w:hAnsi="Arial" w:cs="Arial"/>
          <w:sz w:val="20"/>
          <w:szCs w:val="20"/>
        </w:rPr>
        <w:t>seeDo</w:t>
      </w:r>
      <w:proofErr w:type="spellEnd"/>
      <w:r w:rsidRPr="003C6B5F">
        <w:rPr>
          <w:rFonts w:ascii="Arial" w:hAnsi="Arial" w:cs="Arial"/>
          <w:sz w:val="20"/>
          <w:szCs w:val="20"/>
        </w:rPr>
        <w:t xml:space="preserve"> Institutions Matter?</w:t>
      </w:r>
      <w:proofErr w:type="gramEnd"/>
      <w:r w:rsidRPr="003C6B5F">
        <w:rPr>
          <w:rFonts w:ascii="Arial" w:hAnsi="Arial" w:cs="Arial"/>
          <w:sz w:val="20"/>
          <w:szCs w:val="20"/>
        </w:rPr>
        <w:t xml:space="preserve"> </w:t>
      </w:r>
      <w:proofErr w:type="gramStart"/>
      <w:r w:rsidRPr="003C6B5F">
        <w:rPr>
          <w:rFonts w:ascii="Arial" w:hAnsi="Arial" w:cs="Arial"/>
          <w:sz w:val="20"/>
          <w:szCs w:val="20"/>
        </w:rPr>
        <w:t xml:space="preserve">Government Capabilities in the US and Abroad (Bert A. </w:t>
      </w:r>
      <w:proofErr w:type="spellStart"/>
      <w:r w:rsidRPr="003C6B5F">
        <w:rPr>
          <w:rFonts w:ascii="Arial" w:hAnsi="Arial" w:cs="Arial"/>
          <w:sz w:val="20"/>
          <w:szCs w:val="20"/>
        </w:rPr>
        <w:t>Rockman</w:t>
      </w:r>
      <w:proofErr w:type="spellEnd"/>
      <w:r w:rsidRPr="003C6B5F">
        <w:rPr>
          <w:rFonts w:ascii="Arial" w:hAnsi="Arial" w:cs="Arial"/>
          <w:sz w:val="20"/>
          <w:szCs w:val="20"/>
        </w:rPr>
        <w:t xml:space="preserve"> &amp; R. Kent Weaver eds., 1993); </w:t>
      </w:r>
      <w:proofErr w:type="spellStart"/>
      <w:r w:rsidRPr="003C6B5F">
        <w:rPr>
          <w:rFonts w:ascii="Arial" w:hAnsi="Arial" w:cs="Arial"/>
          <w:sz w:val="20"/>
          <w:szCs w:val="20"/>
        </w:rPr>
        <w:t>Hartmut</w:t>
      </w:r>
      <w:proofErr w:type="spellEnd"/>
      <w:r w:rsidRPr="003C6B5F">
        <w:rPr>
          <w:rFonts w:ascii="Arial" w:hAnsi="Arial" w:cs="Arial"/>
          <w:sz w:val="20"/>
          <w:szCs w:val="20"/>
        </w:rPr>
        <w:t xml:space="preserve"> Wasser, </w:t>
      </w:r>
      <w:proofErr w:type="spellStart"/>
      <w:r w:rsidRPr="003C6B5F">
        <w:rPr>
          <w:rFonts w:ascii="Arial" w:hAnsi="Arial" w:cs="Arial"/>
          <w:sz w:val="20"/>
          <w:szCs w:val="20"/>
        </w:rPr>
        <w:t>Parlamentarismuskritik</w:t>
      </w:r>
      <w:proofErr w:type="spellEnd"/>
      <w:r w:rsidRPr="003C6B5F">
        <w:rPr>
          <w:rFonts w:ascii="Arial" w:hAnsi="Arial" w:cs="Arial"/>
          <w:sz w:val="20"/>
          <w:szCs w:val="20"/>
        </w:rPr>
        <w:t xml:space="preserve"> </w:t>
      </w:r>
      <w:proofErr w:type="spellStart"/>
      <w:r w:rsidRPr="003C6B5F">
        <w:rPr>
          <w:rFonts w:ascii="Arial" w:hAnsi="Arial" w:cs="Arial"/>
          <w:sz w:val="20"/>
          <w:szCs w:val="20"/>
        </w:rPr>
        <w:t>vom</w:t>
      </w:r>
      <w:proofErr w:type="spellEnd"/>
      <w:r w:rsidRPr="003C6B5F">
        <w:rPr>
          <w:rFonts w:ascii="Arial" w:hAnsi="Arial" w:cs="Arial"/>
          <w:sz w:val="20"/>
          <w:szCs w:val="20"/>
        </w:rPr>
        <w:t xml:space="preserve"> </w:t>
      </w:r>
      <w:proofErr w:type="spellStart"/>
      <w:r w:rsidRPr="003C6B5F">
        <w:rPr>
          <w:rFonts w:ascii="Arial" w:hAnsi="Arial" w:cs="Arial"/>
          <w:sz w:val="20"/>
          <w:szCs w:val="20"/>
        </w:rPr>
        <w:t>Kaiserreich</w:t>
      </w:r>
      <w:proofErr w:type="spellEnd"/>
      <w:r w:rsidRPr="003C6B5F">
        <w:rPr>
          <w:rFonts w:ascii="Arial" w:hAnsi="Arial" w:cs="Arial"/>
          <w:sz w:val="20"/>
          <w:szCs w:val="20"/>
        </w:rPr>
        <w:t xml:space="preserve"> </w:t>
      </w:r>
      <w:proofErr w:type="spellStart"/>
      <w:r w:rsidRPr="003C6B5F">
        <w:rPr>
          <w:rFonts w:ascii="Arial" w:hAnsi="Arial" w:cs="Arial"/>
          <w:sz w:val="20"/>
          <w:szCs w:val="20"/>
        </w:rPr>
        <w:t>zur</w:t>
      </w:r>
      <w:proofErr w:type="spellEnd"/>
      <w:r w:rsidRPr="003C6B5F">
        <w:rPr>
          <w:rFonts w:ascii="Arial" w:hAnsi="Arial" w:cs="Arial"/>
          <w:sz w:val="20"/>
          <w:szCs w:val="20"/>
        </w:rPr>
        <w:t xml:space="preserve"> </w:t>
      </w:r>
      <w:proofErr w:type="spellStart"/>
      <w:r w:rsidRPr="003C6B5F">
        <w:rPr>
          <w:rFonts w:ascii="Arial" w:hAnsi="Arial" w:cs="Arial"/>
          <w:sz w:val="20"/>
          <w:szCs w:val="20"/>
        </w:rPr>
        <w:t>Bundesrepublik</w:t>
      </w:r>
      <w:proofErr w:type="spellEnd"/>
      <w:r w:rsidRPr="003C6B5F">
        <w:rPr>
          <w:rFonts w:ascii="Arial" w:hAnsi="Arial" w:cs="Arial"/>
          <w:sz w:val="20"/>
          <w:szCs w:val="20"/>
        </w:rPr>
        <w:t xml:space="preserve"> (1974); </w:t>
      </w:r>
      <w:proofErr w:type="spellStart"/>
      <w:r w:rsidRPr="003C6B5F">
        <w:rPr>
          <w:rFonts w:ascii="Arial" w:hAnsi="Arial" w:cs="Arial"/>
          <w:sz w:val="20"/>
          <w:szCs w:val="20"/>
        </w:rPr>
        <w:t>Pluralismus</w:t>
      </w:r>
      <w:proofErr w:type="spellEnd"/>
      <w:r w:rsidRPr="003C6B5F">
        <w:rPr>
          <w:rFonts w:ascii="Arial" w:hAnsi="Arial" w:cs="Arial"/>
          <w:sz w:val="20"/>
          <w:szCs w:val="20"/>
        </w:rPr>
        <w:t xml:space="preserve"> und </w:t>
      </w:r>
      <w:proofErr w:type="spellStart"/>
      <w:r w:rsidRPr="003C6B5F">
        <w:rPr>
          <w:rFonts w:ascii="Arial" w:hAnsi="Arial" w:cs="Arial"/>
          <w:sz w:val="20"/>
          <w:szCs w:val="20"/>
        </w:rPr>
        <w:t>Parlamentarismus</w:t>
      </w:r>
      <w:proofErr w:type="spellEnd"/>
      <w:r w:rsidRPr="003C6B5F">
        <w:rPr>
          <w:rFonts w:ascii="Arial" w:hAnsi="Arial" w:cs="Arial"/>
          <w:sz w:val="20"/>
          <w:szCs w:val="20"/>
        </w:rPr>
        <w:t xml:space="preserve"> in </w:t>
      </w:r>
      <w:proofErr w:type="spellStart"/>
      <w:r w:rsidRPr="003C6B5F">
        <w:rPr>
          <w:rFonts w:ascii="Arial" w:hAnsi="Arial" w:cs="Arial"/>
          <w:sz w:val="20"/>
          <w:szCs w:val="20"/>
        </w:rPr>
        <w:t>Theorie</w:t>
      </w:r>
      <w:proofErr w:type="spellEnd"/>
      <w:r w:rsidRPr="003C6B5F">
        <w:rPr>
          <w:rFonts w:ascii="Arial" w:hAnsi="Arial" w:cs="Arial"/>
          <w:sz w:val="20"/>
          <w:szCs w:val="20"/>
        </w:rPr>
        <w:t xml:space="preserve"> und Praxis (Jürgen Hartmann &amp; Uwe </w:t>
      </w:r>
      <w:proofErr w:type="spellStart"/>
      <w:r w:rsidRPr="003C6B5F">
        <w:rPr>
          <w:rFonts w:ascii="Arial" w:hAnsi="Arial" w:cs="Arial"/>
          <w:sz w:val="20"/>
          <w:szCs w:val="20"/>
        </w:rPr>
        <w:t>Thaysen</w:t>
      </w:r>
      <w:proofErr w:type="spellEnd"/>
      <w:r w:rsidRPr="003C6B5F">
        <w:rPr>
          <w:rFonts w:ascii="Arial" w:hAnsi="Arial" w:cs="Arial"/>
          <w:sz w:val="20"/>
          <w:szCs w:val="20"/>
        </w:rPr>
        <w:t xml:space="preserve"> eds., 1992).</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94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lastRenderedPageBreak/>
        <w:t>It may be interesting to note that less than 2% of all constitutional complaints reaching the Federal Constitutional Court of Germany turned out to be successful.</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95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One of the central concepts of systems theory: </w:t>
      </w:r>
      <w:proofErr w:type="spellStart"/>
      <w:r w:rsidRPr="003C6B5F">
        <w:rPr>
          <w:rFonts w:ascii="Arial" w:hAnsi="Arial" w:cs="Arial"/>
          <w:sz w:val="20"/>
          <w:szCs w:val="20"/>
        </w:rPr>
        <w:t>seeNiklas</w:t>
      </w:r>
      <w:proofErr w:type="spellEnd"/>
      <w:r w:rsidRPr="003C6B5F">
        <w:rPr>
          <w:rFonts w:ascii="Arial" w:hAnsi="Arial" w:cs="Arial"/>
          <w:sz w:val="20"/>
          <w:szCs w:val="20"/>
        </w:rPr>
        <w:t xml:space="preserve"> </w:t>
      </w:r>
      <w:proofErr w:type="spellStart"/>
      <w:r w:rsidRPr="003C6B5F">
        <w:rPr>
          <w:rFonts w:ascii="Arial" w:hAnsi="Arial" w:cs="Arial"/>
          <w:sz w:val="20"/>
          <w:szCs w:val="20"/>
        </w:rPr>
        <w:t>Luhmann</w:t>
      </w:r>
      <w:proofErr w:type="spellEnd"/>
      <w:r w:rsidRPr="003C6B5F">
        <w:rPr>
          <w:rFonts w:ascii="Arial" w:hAnsi="Arial" w:cs="Arial"/>
          <w:sz w:val="20"/>
          <w:szCs w:val="20"/>
        </w:rPr>
        <w:t xml:space="preserve">, </w:t>
      </w:r>
      <w:proofErr w:type="spellStart"/>
      <w:r w:rsidRPr="003C6B5F">
        <w:rPr>
          <w:rFonts w:ascii="Arial" w:hAnsi="Arial" w:cs="Arial"/>
          <w:sz w:val="20"/>
          <w:szCs w:val="20"/>
        </w:rPr>
        <w:t>Vertrauen</w:t>
      </w:r>
      <w:proofErr w:type="spellEnd"/>
      <w:r w:rsidRPr="003C6B5F">
        <w:rPr>
          <w:rFonts w:ascii="Arial" w:hAnsi="Arial" w:cs="Arial"/>
          <w:sz w:val="20"/>
          <w:szCs w:val="20"/>
        </w:rPr>
        <w:t xml:space="preserve">. </w:t>
      </w:r>
      <w:proofErr w:type="spellStart"/>
      <w:proofErr w:type="gramStart"/>
      <w:r w:rsidRPr="003C6B5F">
        <w:rPr>
          <w:rFonts w:ascii="Arial" w:hAnsi="Arial" w:cs="Arial"/>
          <w:sz w:val="20"/>
          <w:szCs w:val="20"/>
        </w:rPr>
        <w:t>Ein</w:t>
      </w:r>
      <w:proofErr w:type="spellEnd"/>
      <w:r w:rsidRPr="003C6B5F">
        <w:rPr>
          <w:rFonts w:ascii="Arial" w:hAnsi="Arial" w:cs="Arial"/>
          <w:sz w:val="20"/>
          <w:szCs w:val="20"/>
        </w:rPr>
        <w:t xml:space="preserve"> </w:t>
      </w:r>
      <w:proofErr w:type="spellStart"/>
      <w:r w:rsidRPr="003C6B5F">
        <w:rPr>
          <w:rFonts w:ascii="Arial" w:hAnsi="Arial" w:cs="Arial"/>
          <w:sz w:val="20"/>
          <w:szCs w:val="20"/>
        </w:rPr>
        <w:t>Mechanismus</w:t>
      </w:r>
      <w:proofErr w:type="spellEnd"/>
      <w:r w:rsidRPr="003C6B5F">
        <w:rPr>
          <w:rFonts w:ascii="Arial" w:hAnsi="Arial" w:cs="Arial"/>
          <w:sz w:val="20"/>
          <w:szCs w:val="20"/>
        </w:rPr>
        <w:t xml:space="preserve"> der </w:t>
      </w:r>
      <w:proofErr w:type="spellStart"/>
      <w:r w:rsidRPr="003C6B5F">
        <w:rPr>
          <w:rFonts w:ascii="Arial" w:hAnsi="Arial" w:cs="Arial"/>
          <w:sz w:val="20"/>
          <w:szCs w:val="20"/>
        </w:rPr>
        <w:t>Reduktion</w:t>
      </w:r>
      <w:proofErr w:type="spellEnd"/>
      <w:r w:rsidRPr="003C6B5F">
        <w:rPr>
          <w:rFonts w:ascii="Arial" w:hAnsi="Arial" w:cs="Arial"/>
          <w:sz w:val="20"/>
          <w:szCs w:val="20"/>
        </w:rPr>
        <w:t xml:space="preserve"> </w:t>
      </w:r>
      <w:proofErr w:type="spellStart"/>
      <w:r w:rsidRPr="003C6B5F">
        <w:rPr>
          <w:rFonts w:ascii="Arial" w:hAnsi="Arial" w:cs="Arial"/>
          <w:sz w:val="20"/>
          <w:szCs w:val="20"/>
        </w:rPr>
        <w:t>sozialer</w:t>
      </w:r>
      <w:proofErr w:type="spellEnd"/>
      <w:r w:rsidRPr="003C6B5F">
        <w:rPr>
          <w:rFonts w:ascii="Arial" w:hAnsi="Arial" w:cs="Arial"/>
          <w:sz w:val="20"/>
          <w:szCs w:val="20"/>
        </w:rPr>
        <w:t xml:space="preserve"> </w:t>
      </w:r>
      <w:proofErr w:type="spellStart"/>
      <w:r w:rsidRPr="003C6B5F">
        <w:rPr>
          <w:rFonts w:ascii="Arial" w:hAnsi="Arial" w:cs="Arial"/>
          <w:sz w:val="20"/>
          <w:szCs w:val="20"/>
        </w:rPr>
        <w:t>Komplexität</w:t>
      </w:r>
      <w:proofErr w:type="spellEnd"/>
      <w:r w:rsidRPr="003C6B5F">
        <w:rPr>
          <w:rFonts w:ascii="Arial" w:hAnsi="Arial" w:cs="Arial"/>
          <w:sz w:val="20"/>
          <w:szCs w:val="20"/>
        </w:rPr>
        <w:t xml:space="preserve"> (2000).</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96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Kennedy, supra note 15, at 108–109.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97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Id.</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98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See </w:t>
      </w:r>
      <w:proofErr w:type="spellStart"/>
      <w:r w:rsidRPr="003C6B5F">
        <w:rPr>
          <w:rFonts w:ascii="Arial" w:hAnsi="Arial" w:cs="Arial"/>
          <w:sz w:val="20"/>
          <w:szCs w:val="20"/>
        </w:rPr>
        <w:t>onlyRichard</w:t>
      </w:r>
      <w:proofErr w:type="spellEnd"/>
      <w:r w:rsidRPr="003C6B5F">
        <w:rPr>
          <w:rFonts w:ascii="Arial" w:hAnsi="Arial" w:cs="Arial"/>
          <w:sz w:val="20"/>
          <w:szCs w:val="20"/>
        </w:rPr>
        <w:t xml:space="preserve"> Schacht, Alienation (1970); </w:t>
      </w:r>
      <w:proofErr w:type="spellStart"/>
      <w:r w:rsidRPr="003C6B5F">
        <w:rPr>
          <w:rFonts w:ascii="Arial" w:hAnsi="Arial" w:cs="Arial"/>
          <w:sz w:val="20"/>
          <w:szCs w:val="20"/>
        </w:rPr>
        <w:t>István</w:t>
      </w:r>
      <w:proofErr w:type="spellEnd"/>
      <w:r w:rsidRPr="003C6B5F">
        <w:rPr>
          <w:rFonts w:ascii="Arial" w:hAnsi="Arial" w:cs="Arial"/>
          <w:sz w:val="20"/>
          <w:szCs w:val="20"/>
        </w:rPr>
        <w:t xml:space="preserve"> </w:t>
      </w:r>
      <w:proofErr w:type="spellStart"/>
      <w:r w:rsidRPr="003C6B5F">
        <w:rPr>
          <w:rFonts w:ascii="Arial" w:hAnsi="Arial" w:cs="Arial"/>
          <w:sz w:val="20"/>
          <w:szCs w:val="20"/>
        </w:rPr>
        <w:t>Mészáros</w:t>
      </w:r>
      <w:proofErr w:type="spellEnd"/>
      <w:r w:rsidRPr="003C6B5F">
        <w:rPr>
          <w:rFonts w:ascii="Arial" w:hAnsi="Arial" w:cs="Arial"/>
          <w:sz w:val="20"/>
          <w:szCs w:val="20"/>
        </w:rPr>
        <w:t xml:space="preserve">, Marx’s Theory of Alienation (1970); </w:t>
      </w:r>
      <w:proofErr w:type="spellStart"/>
      <w:r w:rsidRPr="003C6B5F">
        <w:rPr>
          <w:rFonts w:ascii="Arial" w:hAnsi="Arial" w:cs="Arial"/>
          <w:sz w:val="20"/>
          <w:szCs w:val="20"/>
        </w:rPr>
        <w:t>Rahel</w:t>
      </w:r>
      <w:proofErr w:type="spellEnd"/>
      <w:r w:rsidRPr="003C6B5F">
        <w:rPr>
          <w:rFonts w:ascii="Arial" w:hAnsi="Arial" w:cs="Arial"/>
          <w:sz w:val="20"/>
          <w:szCs w:val="20"/>
        </w:rPr>
        <w:t xml:space="preserve"> </w:t>
      </w:r>
      <w:proofErr w:type="spellStart"/>
      <w:r w:rsidRPr="003C6B5F">
        <w:rPr>
          <w:rFonts w:ascii="Arial" w:hAnsi="Arial" w:cs="Arial"/>
          <w:sz w:val="20"/>
          <w:szCs w:val="20"/>
        </w:rPr>
        <w:t>Jaeggi</w:t>
      </w:r>
      <w:proofErr w:type="spellEnd"/>
      <w:r w:rsidRPr="003C6B5F">
        <w:rPr>
          <w:rFonts w:ascii="Arial" w:hAnsi="Arial" w:cs="Arial"/>
          <w:sz w:val="20"/>
          <w:szCs w:val="20"/>
        </w:rPr>
        <w:t>, Alienation (forthcoming 2014).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99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In the normative discourse, human rights are defined as “weapons” or “trumps” in the hands of the individual rights holder. They are said to override any competing political, economic or other concerns. Such definitions accept as normal the circumstance that the personal is faded out and treated as an incidence of the universal. </w:t>
      </w:r>
      <w:proofErr w:type="gramStart"/>
      <w:r w:rsidRPr="003C6B5F">
        <w:rPr>
          <w:rFonts w:ascii="Arial" w:hAnsi="Arial" w:cs="Arial"/>
          <w:sz w:val="20"/>
          <w:szCs w:val="20"/>
        </w:rPr>
        <w:t>See, e.g., Ronald Dworkin, Takings Rights Seriously (1977).</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100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Georg F. Hegel, </w:t>
      </w:r>
      <w:proofErr w:type="spellStart"/>
      <w:r w:rsidRPr="003C6B5F">
        <w:rPr>
          <w:rFonts w:ascii="Arial" w:hAnsi="Arial" w:cs="Arial"/>
          <w:sz w:val="20"/>
          <w:szCs w:val="20"/>
        </w:rPr>
        <w:t>Vorlesung</w:t>
      </w:r>
      <w:proofErr w:type="spellEnd"/>
      <w:r w:rsidRPr="003C6B5F">
        <w:rPr>
          <w:rFonts w:ascii="Arial" w:hAnsi="Arial" w:cs="Arial"/>
          <w:sz w:val="20"/>
          <w:szCs w:val="20"/>
        </w:rPr>
        <w:t xml:space="preserve"> </w:t>
      </w:r>
      <w:proofErr w:type="spellStart"/>
      <w:r w:rsidRPr="003C6B5F">
        <w:rPr>
          <w:rFonts w:ascii="Arial" w:hAnsi="Arial" w:cs="Arial"/>
          <w:sz w:val="20"/>
          <w:szCs w:val="20"/>
        </w:rPr>
        <w:t>über</w:t>
      </w:r>
      <w:proofErr w:type="spellEnd"/>
      <w:r w:rsidRPr="003C6B5F">
        <w:rPr>
          <w:rFonts w:ascii="Arial" w:hAnsi="Arial" w:cs="Arial"/>
          <w:sz w:val="20"/>
          <w:szCs w:val="20"/>
        </w:rPr>
        <w:t xml:space="preserve"> die </w:t>
      </w:r>
      <w:proofErr w:type="spellStart"/>
      <w:r w:rsidRPr="003C6B5F">
        <w:rPr>
          <w:rFonts w:ascii="Arial" w:hAnsi="Arial" w:cs="Arial"/>
          <w:sz w:val="20"/>
          <w:szCs w:val="20"/>
        </w:rPr>
        <w:t>Philosophie</w:t>
      </w:r>
      <w:proofErr w:type="spellEnd"/>
      <w:r w:rsidRPr="003C6B5F">
        <w:rPr>
          <w:rFonts w:ascii="Arial" w:hAnsi="Arial" w:cs="Arial"/>
          <w:sz w:val="20"/>
          <w:szCs w:val="20"/>
        </w:rPr>
        <w:t xml:space="preserve"> des </w:t>
      </w:r>
      <w:proofErr w:type="spellStart"/>
      <w:r w:rsidRPr="003C6B5F">
        <w:rPr>
          <w:rFonts w:ascii="Arial" w:hAnsi="Arial" w:cs="Arial"/>
          <w:sz w:val="20"/>
          <w:szCs w:val="20"/>
        </w:rPr>
        <w:t>Rechts</w:t>
      </w:r>
      <w:proofErr w:type="spellEnd"/>
      <w:r w:rsidRPr="003C6B5F">
        <w:rPr>
          <w:rFonts w:ascii="Arial" w:hAnsi="Arial" w:cs="Arial"/>
          <w:sz w:val="20"/>
          <w:szCs w:val="20"/>
        </w:rPr>
        <w:t xml:space="preserve"> 194–195 (1983 [1819–1820]).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101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Douzinas</w:t>
      </w:r>
      <w:proofErr w:type="spellEnd"/>
      <w:r w:rsidRPr="003C6B5F">
        <w:rPr>
          <w:rFonts w:ascii="Arial" w:hAnsi="Arial" w:cs="Arial"/>
          <w:sz w:val="20"/>
          <w:szCs w:val="20"/>
        </w:rPr>
        <w:t>, supra note 79, at 40.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102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Niklas</w:t>
      </w:r>
      <w:proofErr w:type="spellEnd"/>
      <w:r w:rsidRPr="003C6B5F">
        <w:rPr>
          <w:rFonts w:ascii="Arial" w:hAnsi="Arial" w:cs="Arial"/>
          <w:sz w:val="20"/>
          <w:szCs w:val="20"/>
        </w:rPr>
        <w:t xml:space="preserve"> </w:t>
      </w:r>
      <w:proofErr w:type="spellStart"/>
      <w:r w:rsidRPr="003C6B5F">
        <w:rPr>
          <w:rFonts w:ascii="Arial" w:hAnsi="Arial" w:cs="Arial"/>
          <w:sz w:val="20"/>
          <w:szCs w:val="20"/>
        </w:rPr>
        <w:t>Luhmann</w:t>
      </w:r>
      <w:proofErr w:type="spellEnd"/>
      <w:r w:rsidRPr="003C6B5F">
        <w:rPr>
          <w:rFonts w:ascii="Arial" w:hAnsi="Arial" w:cs="Arial"/>
          <w:sz w:val="20"/>
          <w:szCs w:val="20"/>
        </w:rPr>
        <w:t xml:space="preserve"> </w:t>
      </w:r>
      <w:proofErr w:type="spellStart"/>
      <w:r w:rsidRPr="003C6B5F">
        <w:rPr>
          <w:rFonts w:ascii="Arial" w:hAnsi="Arial" w:cs="Arial"/>
          <w:sz w:val="20"/>
          <w:szCs w:val="20"/>
        </w:rPr>
        <w:t>analysed</w:t>
      </w:r>
      <w:proofErr w:type="spellEnd"/>
      <w:r w:rsidRPr="003C6B5F">
        <w:rPr>
          <w:rFonts w:ascii="Arial" w:hAnsi="Arial" w:cs="Arial"/>
          <w:sz w:val="20"/>
          <w:szCs w:val="20"/>
        </w:rPr>
        <w:t xml:space="preserve"> this dark side as “legitimation by procedure” in Legitimation </w:t>
      </w:r>
      <w:proofErr w:type="spellStart"/>
      <w:r w:rsidRPr="003C6B5F">
        <w:rPr>
          <w:rFonts w:ascii="Arial" w:hAnsi="Arial" w:cs="Arial"/>
          <w:sz w:val="20"/>
          <w:szCs w:val="20"/>
        </w:rPr>
        <w:t>durch</w:t>
      </w:r>
      <w:proofErr w:type="spellEnd"/>
      <w:r w:rsidRPr="003C6B5F">
        <w:rPr>
          <w:rFonts w:ascii="Arial" w:hAnsi="Arial" w:cs="Arial"/>
          <w:sz w:val="20"/>
          <w:szCs w:val="20"/>
        </w:rPr>
        <w:t xml:space="preserve"> </w:t>
      </w:r>
      <w:proofErr w:type="spellStart"/>
      <w:r w:rsidRPr="003C6B5F">
        <w:rPr>
          <w:rFonts w:ascii="Arial" w:hAnsi="Arial" w:cs="Arial"/>
          <w:sz w:val="20"/>
          <w:szCs w:val="20"/>
        </w:rPr>
        <w:t>Verfahren</w:t>
      </w:r>
      <w:proofErr w:type="spellEnd"/>
      <w:r w:rsidRPr="003C6B5F">
        <w:rPr>
          <w:rFonts w:ascii="Arial" w:hAnsi="Arial" w:cs="Arial"/>
          <w:sz w:val="20"/>
          <w:szCs w:val="20"/>
        </w:rPr>
        <w:t xml:space="preserve"> (6th ed. 2001).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103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In the Frankfurt Airport case (128 </w:t>
      </w:r>
      <w:proofErr w:type="spellStart"/>
      <w:r w:rsidRPr="003C6B5F">
        <w:rPr>
          <w:rFonts w:ascii="Arial" w:hAnsi="Arial" w:cs="Arial"/>
          <w:sz w:val="20"/>
          <w:szCs w:val="20"/>
        </w:rPr>
        <w:t>BVerfGE</w:t>
      </w:r>
      <w:proofErr w:type="spellEnd"/>
      <w:r w:rsidRPr="003C6B5F">
        <w:rPr>
          <w:rFonts w:ascii="Arial" w:hAnsi="Arial" w:cs="Arial"/>
          <w:sz w:val="20"/>
          <w:szCs w:val="20"/>
        </w:rPr>
        <w:t xml:space="preserve"> 226/256), the complainant found it hard to understand that her concern to prevent the deportation of asylum seekers was of no import during the hearing of her case before and in the decision of the Federal Constitutional Court.</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104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r w:rsidRPr="003C6B5F">
        <w:rPr>
          <w:rFonts w:ascii="Arial" w:hAnsi="Arial" w:cs="Arial"/>
          <w:sz w:val="20"/>
          <w:szCs w:val="20"/>
        </w:rPr>
        <w:t>Jaeggi</w:t>
      </w:r>
      <w:proofErr w:type="spellEnd"/>
      <w:r w:rsidRPr="003C6B5F">
        <w:rPr>
          <w:rFonts w:ascii="Arial" w:hAnsi="Arial" w:cs="Arial"/>
          <w:sz w:val="20"/>
          <w:szCs w:val="20"/>
        </w:rPr>
        <w:t>, supra note 98, at 53 with reference to Isaiah Berlin’s concept.</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105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Jacques Derrida &amp; Anne </w:t>
      </w:r>
      <w:proofErr w:type="spellStart"/>
      <w:r w:rsidRPr="003C6B5F">
        <w:rPr>
          <w:rFonts w:ascii="Arial" w:hAnsi="Arial" w:cs="Arial"/>
          <w:sz w:val="20"/>
          <w:szCs w:val="20"/>
        </w:rPr>
        <w:t>Dufourmantelle</w:t>
      </w:r>
      <w:proofErr w:type="spellEnd"/>
      <w:r w:rsidRPr="003C6B5F">
        <w:rPr>
          <w:rFonts w:ascii="Arial" w:hAnsi="Arial" w:cs="Arial"/>
          <w:sz w:val="20"/>
          <w:szCs w:val="20"/>
        </w:rPr>
        <w:t>, Of Hospitality: Cultural Memory in the Present (Rachel Bowlby trans., 2000).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106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Hannah Arendt, The Perplexities of the Rights of Man, in Hannah Arendt, The Origins of Totalitarianism 295 (3d ed. 1966); see </w:t>
      </w:r>
      <w:proofErr w:type="spellStart"/>
      <w:r w:rsidRPr="003C6B5F">
        <w:rPr>
          <w:rFonts w:ascii="Arial" w:hAnsi="Arial" w:cs="Arial"/>
          <w:sz w:val="20"/>
          <w:szCs w:val="20"/>
        </w:rPr>
        <w:t>alsoSeyla</w:t>
      </w:r>
      <w:proofErr w:type="spellEnd"/>
      <w:r w:rsidRPr="003C6B5F">
        <w:rPr>
          <w:rFonts w:ascii="Arial" w:hAnsi="Arial" w:cs="Arial"/>
          <w:sz w:val="20"/>
          <w:szCs w:val="20"/>
        </w:rPr>
        <w:t xml:space="preserve"> </w:t>
      </w:r>
      <w:proofErr w:type="spellStart"/>
      <w:r w:rsidRPr="003C6B5F">
        <w:rPr>
          <w:rFonts w:ascii="Arial" w:hAnsi="Arial" w:cs="Arial"/>
          <w:sz w:val="20"/>
          <w:szCs w:val="20"/>
        </w:rPr>
        <w:t>Benhabib</w:t>
      </w:r>
      <w:proofErr w:type="spellEnd"/>
      <w:r w:rsidRPr="003C6B5F">
        <w:rPr>
          <w:rFonts w:ascii="Arial" w:hAnsi="Arial" w:cs="Arial"/>
          <w:sz w:val="20"/>
          <w:szCs w:val="20"/>
        </w:rPr>
        <w:t>, The Rights of Others 56 et seq. (2004).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107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I take the metaphor from </w:t>
      </w:r>
      <w:proofErr w:type="gramStart"/>
      <w:r w:rsidRPr="003C6B5F">
        <w:rPr>
          <w:rFonts w:ascii="Arial" w:hAnsi="Arial" w:cs="Arial"/>
          <w:sz w:val="20"/>
          <w:szCs w:val="20"/>
        </w:rPr>
        <w:t>Geertz,</w:t>
      </w:r>
      <w:proofErr w:type="gramEnd"/>
      <w:r w:rsidRPr="003C6B5F">
        <w:rPr>
          <w:rFonts w:ascii="Arial" w:hAnsi="Arial" w:cs="Arial"/>
          <w:sz w:val="20"/>
          <w:szCs w:val="20"/>
        </w:rPr>
        <w:t xml:space="preserve"> supra note 81, at 182.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108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Decisions of the Federal Administrative Court—</w:t>
      </w:r>
      <w:proofErr w:type="spellStart"/>
      <w:r w:rsidRPr="003C6B5F">
        <w:rPr>
          <w:rFonts w:ascii="Arial" w:hAnsi="Arial" w:cs="Arial"/>
          <w:sz w:val="20"/>
          <w:szCs w:val="20"/>
        </w:rPr>
        <w:t>BVerwGE</w:t>
      </w:r>
      <w:proofErr w:type="spellEnd"/>
      <w:r w:rsidRPr="003C6B5F">
        <w:rPr>
          <w:rFonts w:ascii="Arial" w:hAnsi="Arial" w:cs="Arial"/>
          <w:sz w:val="20"/>
          <w:szCs w:val="20"/>
        </w:rPr>
        <w:t xml:space="preserve"> 67, 195, 202.</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109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proofErr w:type="gramStart"/>
      <w:r w:rsidRPr="003C6B5F">
        <w:rPr>
          <w:rFonts w:ascii="Arial" w:hAnsi="Arial" w:cs="Arial"/>
          <w:sz w:val="20"/>
          <w:szCs w:val="20"/>
        </w:rPr>
        <w:t>BVerfGE</w:t>
      </w:r>
      <w:proofErr w:type="spellEnd"/>
      <w:r w:rsidRPr="003C6B5F">
        <w:rPr>
          <w:rFonts w:ascii="Arial" w:hAnsi="Arial" w:cs="Arial"/>
          <w:sz w:val="20"/>
          <w:szCs w:val="20"/>
        </w:rPr>
        <w:t xml:space="preserve"> 67, 184/189 and 193.</w:t>
      </w:r>
      <w:proofErr w:type="gramEnd"/>
      <w:r w:rsidRPr="003C6B5F">
        <w:rPr>
          <w:rFonts w:ascii="Arial" w:hAnsi="Arial" w:cs="Arial"/>
          <w:sz w:val="20"/>
          <w:szCs w:val="20"/>
        </w:rPr>
        <w:t xml:space="preserve"> For a critique of the “subjective concept” of political persecution, </w:t>
      </w:r>
      <w:proofErr w:type="spellStart"/>
      <w:r w:rsidRPr="003C6B5F">
        <w:rPr>
          <w:rFonts w:ascii="Arial" w:hAnsi="Arial" w:cs="Arial"/>
          <w:sz w:val="20"/>
          <w:szCs w:val="20"/>
        </w:rPr>
        <w:t>seeIngo</w:t>
      </w:r>
      <w:proofErr w:type="spellEnd"/>
      <w:r w:rsidRPr="003C6B5F">
        <w:rPr>
          <w:rFonts w:ascii="Arial" w:hAnsi="Arial" w:cs="Arial"/>
          <w:sz w:val="20"/>
          <w:szCs w:val="20"/>
        </w:rPr>
        <w:t xml:space="preserve"> von </w:t>
      </w:r>
      <w:proofErr w:type="spellStart"/>
      <w:r w:rsidRPr="003C6B5F">
        <w:rPr>
          <w:rFonts w:ascii="Arial" w:hAnsi="Arial" w:cs="Arial"/>
          <w:sz w:val="20"/>
          <w:szCs w:val="20"/>
        </w:rPr>
        <w:t>Pollern</w:t>
      </w:r>
      <w:proofErr w:type="spellEnd"/>
      <w:r w:rsidRPr="003C6B5F">
        <w:rPr>
          <w:rFonts w:ascii="Arial" w:hAnsi="Arial" w:cs="Arial"/>
          <w:sz w:val="20"/>
          <w:szCs w:val="20"/>
        </w:rPr>
        <w:t xml:space="preserve">, Das </w:t>
      </w:r>
      <w:proofErr w:type="spellStart"/>
      <w:r w:rsidRPr="003C6B5F">
        <w:rPr>
          <w:rFonts w:ascii="Arial" w:hAnsi="Arial" w:cs="Arial"/>
          <w:sz w:val="20"/>
          <w:szCs w:val="20"/>
        </w:rPr>
        <w:t>moderne</w:t>
      </w:r>
      <w:proofErr w:type="spellEnd"/>
      <w:r w:rsidRPr="003C6B5F">
        <w:rPr>
          <w:rFonts w:ascii="Arial" w:hAnsi="Arial" w:cs="Arial"/>
          <w:sz w:val="20"/>
          <w:szCs w:val="20"/>
        </w:rPr>
        <w:t xml:space="preserve"> </w:t>
      </w:r>
      <w:proofErr w:type="spellStart"/>
      <w:r w:rsidRPr="003C6B5F">
        <w:rPr>
          <w:rFonts w:ascii="Arial" w:hAnsi="Arial" w:cs="Arial"/>
          <w:sz w:val="20"/>
          <w:szCs w:val="20"/>
        </w:rPr>
        <w:t>Asylrecht</w:t>
      </w:r>
      <w:proofErr w:type="spellEnd"/>
      <w:r w:rsidRPr="003C6B5F">
        <w:rPr>
          <w:rFonts w:ascii="Arial" w:hAnsi="Arial" w:cs="Arial"/>
          <w:sz w:val="20"/>
          <w:szCs w:val="20"/>
        </w:rPr>
        <w:t xml:space="preserve"> 268 et seq. (1980), and </w:t>
      </w:r>
      <w:proofErr w:type="spellStart"/>
      <w:r w:rsidRPr="003C6B5F">
        <w:rPr>
          <w:rFonts w:ascii="Arial" w:hAnsi="Arial" w:cs="Arial"/>
          <w:sz w:val="20"/>
          <w:szCs w:val="20"/>
        </w:rPr>
        <w:t>Reinhard</w:t>
      </w:r>
      <w:proofErr w:type="spellEnd"/>
      <w:r w:rsidRPr="003C6B5F">
        <w:rPr>
          <w:rFonts w:ascii="Arial" w:hAnsi="Arial" w:cs="Arial"/>
          <w:sz w:val="20"/>
          <w:szCs w:val="20"/>
        </w:rPr>
        <w:t xml:space="preserve"> Marx, </w:t>
      </w:r>
      <w:proofErr w:type="spellStart"/>
      <w:r w:rsidRPr="003C6B5F">
        <w:rPr>
          <w:rFonts w:ascii="Arial" w:hAnsi="Arial" w:cs="Arial"/>
          <w:sz w:val="20"/>
          <w:szCs w:val="20"/>
        </w:rPr>
        <w:t>Zeitschrift</w:t>
      </w:r>
      <w:proofErr w:type="spellEnd"/>
      <w:r w:rsidRPr="003C6B5F">
        <w:rPr>
          <w:rFonts w:ascii="Arial" w:hAnsi="Arial" w:cs="Arial"/>
          <w:sz w:val="20"/>
          <w:szCs w:val="20"/>
        </w:rPr>
        <w:t xml:space="preserve"> </w:t>
      </w:r>
      <w:proofErr w:type="spellStart"/>
      <w:r w:rsidRPr="003C6B5F">
        <w:rPr>
          <w:rFonts w:ascii="Arial" w:hAnsi="Arial" w:cs="Arial"/>
          <w:sz w:val="20"/>
          <w:szCs w:val="20"/>
        </w:rPr>
        <w:t>für</w:t>
      </w:r>
      <w:proofErr w:type="spellEnd"/>
      <w:r w:rsidRPr="003C6B5F">
        <w:rPr>
          <w:rFonts w:ascii="Arial" w:hAnsi="Arial" w:cs="Arial"/>
          <w:sz w:val="20"/>
          <w:szCs w:val="20"/>
        </w:rPr>
        <w:t xml:space="preserve"> </w:t>
      </w:r>
      <w:proofErr w:type="spellStart"/>
      <w:r w:rsidRPr="003C6B5F">
        <w:rPr>
          <w:rFonts w:ascii="Arial" w:hAnsi="Arial" w:cs="Arial"/>
          <w:sz w:val="20"/>
          <w:szCs w:val="20"/>
        </w:rPr>
        <w:t>Ausländerrecht</w:t>
      </w:r>
      <w:proofErr w:type="spellEnd"/>
      <w:r w:rsidRPr="003C6B5F">
        <w:rPr>
          <w:rFonts w:ascii="Arial" w:hAnsi="Arial" w:cs="Arial"/>
          <w:sz w:val="20"/>
          <w:szCs w:val="20"/>
        </w:rPr>
        <w:t xml:space="preserve"> 42 (1981).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110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For a critical analysis of the global debates, </w:t>
      </w:r>
      <w:proofErr w:type="spellStart"/>
      <w:r w:rsidRPr="003C6B5F">
        <w:rPr>
          <w:rFonts w:ascii="Arial" w:hAnsi="Arial" w:cs="Arial"/>
          <w:sz w:val="20"/>
          <w:szCs w:val="20"/>
        </w:rPr>
        <w:t>seePheng</w:t>
      </w:r>
      <w:proofErr w:type="spellEnd"/>
      <w:r w:rsidRPr="003C6B5F">
        <w:rPr>
          <w:rFonts w:ascii="Arial" w:hAnsi="Arial" w:cs="Arial"/>
          <w:sz w:val="20"/>
          <w:szCs w:val="20"/>
        </w:rPr>
        <w:t xml:space="preserve"> </w:t>
      </w:r>
      <w:proofErr w:type="spellStart"/>
      <w:r w:rsidRPr="003C6B5F">
        <w:rPr>
          <w:rFonts w:ascii="Arial" w:hAnsi="Arial" w:cs="Arial"/>
          <w:sz w:val="20"/>
          <w:szCs w:val="20"/>
        </w:rPr>
        <w:t>Cheah</w:t>
      </w:r>
      <w:proofErr w:type="spellEnd"/>
      <w:r w:rsidRPr="003C6B5F">
        <w:rPr>
          <w:rFonts w:ascii="Arial" w:hAnsi="Arial" w:cs="Arial"/>
          <w:sz w:val="20"/>
          <w:szCs w:val="20"/>
        </w:rPr>
        <w:t>, Inhuman Conditions: On Cosmopolitanism and Human Rights (2006).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111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The number of applicants seeking asylum has since then dropped from 130,000 in 1995 to about 20,000 per annum (2005–2008), the rate of recognition oscillating between 5 and 1%. See </w:t>
      </w:r>
      <w:proofErr w:type="spellStart"/>
      <w:r w:rsidRPr="003C6B5F">
        <w:rPr>
          <w:rFonts w:ascii="Arial" w:hAnsi="Arial" w:cs="Arial"/>
          <w:sz w:val="20"/>
          <w:szCs w:val="20"/>
        </w:rPr>
        <w:t>Bundesamt</w:t>
      </w:r>
      <w:proofErr w:type="spellEnd"/>
      <w:r w:rsidRPr="003C6B5F">
        <w:rPr>
          <w:rFonts w:ascii="Arial" w:hAnsi="Arial" w:cs="Arial"/>
          <w:sz w:val="20"/>
          <w:szCs w:val="20"/>
        </w:rPr>
        <w:t xml:space="preserve"> </w:t>
      </w:r>
      <w:proofErr w:type="spellStart"/>
      <w:r w:rsidRPr="003C6B5F">
        <w:rPr>
          <w:rFonts w:ascii="Arial" w:hAnsi="Arial" w:cs="Arial"/>
          <w:sz w:val="20"/>
          <w:szCs w:val="20"/>
        </w:rPr>
        <w:t>für</w:t>
      </w:r>
      <w:proofErr w:type="spellEnd"/>
      <w:r w:rsidRPr="003C6B5F">
        <w:rPr>
          <w:rFonts w:ascii="Arial" w:hAnsi="Arial" w:cs="Arial"/>
          <w:sz w:val="20"/>
          <w:szCs w:val="20"/>
        </w:rPr>
        <w:t xml:space="preserve"> Migration und </w:t>
      </w:r>
      <w:proofErr w:type="spellStart"/>
      <w:r w:rsidRPr="003C6B5F">
        <w:rPr>
          <w:rFonts w:ascii="Arial" w:hAnsi="Arial" w:cs="Arial"/>
          <w:sz w:val="20"/>
          <w:szCs w:val="20"/>
        </w:rPr>
        <w:t>Flüchtlinge</w:t>
      </w:r>
      <w:proofErr w:type="spellEnd"/>
      <w:r w:rsidRPr="003C6B5F">
        <w:rPr>
          <w:rFonts w:ascii="Arial" w:hAnsi="Arial" w:cs="Arial"/>
          <w:sz w:val="20"/>
          <w:szCs w:val="20"/>
        </w:rPr>
        <w:t xml:space="preserve"> [Federal Office for Migration and Refugees], </w:t>
      </w:r>
      <w:proofErr w:type="spellStart"/>
      <w:r w:rsidRPr="003C6B5F">
        <w:rPr>
          <w:rFonts w:ascii="Arial" w:hAnsi="Arial" w:cs="Arial"/>
          <w:sz w:val="20"/>
          <w:szCs w:val="20"/>
        </w:rPr>
        <w:t>Infothek</w:t>
      </w:r>
      <w:proofErr w:type="spellEnd"/>
      <w:r w:rsidRPr="003C6B5F">
        <w:rPr>
          <w:rFonts w:ascii="Arial" w:hAnsi="Arial" w:cs="Arial"/>
          <w:sz w:val="20"/>
          <w:szCs w:val="20"/>
        </w:rPr>
        <w:t>/</w:t>
      </w:r>
      <w:proofErr w:type="spellStart"/>
      <w:r w:rsidRPr="003C6B5F">
        <w:rPr>
          <w:rFonts w:ascii="Arial" w:hAnsi="Arial" w:cs="Arial"/>
          <w:sz w:val="20"/>
          <w:szCs w:val="20"/>
        </w:rPr>
        <w:t>Statistiken</w:t>
      </w:r>
      <w:proofErr w:type="spellEnd"/>
      <w:r w:rsidRPr="003C6B5F">
        <w:rPr>
          <w:rFonts w:ascii="Arial" w:hAnsi="Arial" w:cs="Arial"/>
          <w:sz w:val="20"/>
          <w:szCs w:val="20"/>
        </w:rPr>
        <w:t>/</w:t>
      </w:r>
      <w:proofErr w:type="spellStart"/>
      <w:r w:rsidRPr="003C6B5F">
        <w:rPr>
          <w:rFonts w:ascii="Arial" w:hAnsi="Arial" w:cs="Arial"/>
          <w:sz w:val="20"/>
          <w:szCs w:val="20"/>
        </w:rPr>
        <w:t>Asylzahlen</w:t>
      </w:r>
      <w:proofErr w:type="spellEnd"/>
      <w:r w:rsidRPr="003C6B5F">
        <w:rPr>
          <w:rFonts w:ascii="Arial" w:hAnsi="Arial" w:cs="Arial"/>
          <w:sz w:val="20"/>
          <w:szCs w:val="20"/>
        </w:rPr>
        <w:t xml:space="preserve"> (Feb. 24, 2012).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112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For an overview, see Günter Frankenberg, Down by Law: Irony, Seriousness, and Reason, 83 Nw. U. L. Rev. 360 (1988/1989); </w:t>
      </w:r>
      <w:proofErr w:type="spellStart"/>
      <w:r w:rsidRPr="003C6B5F">
        <w:rPr>
          <w:rFonts w:ascii="Arial" w:hAnsi="Arial" w:cs="Arial"/>
          <w:sz w:val="20"/>
          <w:szCs w:val="20"/>
        </w:rPr>
        <w:t>Douzinas</w:t>
      </w:r>
      <w:proofErr w:type="spellEnd"/>
      <w:r w:rsidRPr="003C6B5F">
        <w:rPr>
          <w:rFonts w:ascii="Arial" w:hAnsi="Arial" w:cs="Arial"/>
          <w:sz w:val="20"/>
          <w:szCs w:val="20"/>
        </w:rPr>
        <w:t xml:space="preserve">, supra note 79, at </w:t>
      </w:r>
      <w:proofErr w:type="spellStart"/>
      <w:r w:rsidRPr="003C6B5F">
        <w:rPr>
          <w:rFonts w:ascii="Arial" w:hAnsi="Arial" w:cs="Arial"/>
          <w:sz w:val="20"/>
          <w:szCs w:val="20"/>
        </w:rPr>
        <w:t>ch.</w:t>
      </w:r>
      <w:proofErr w:type="spellEnd"/>
      <w:r w:rsidRPr="003C6B5F">
        <w:rPr>
          <w:rFonts w:ascii="Arial" w:hAnsi="Arial" w:cs="Arial"/>
          <w:sz w:val="20"/>
          <w:szCs w:val="20"/>
        </w:rPr>
        <w:t xml:space="preserve"> 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113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Adopted by the General Assembly Resolution 39/46 of Dec. 10, 1984.</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114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Edward Peters, Torture (1985).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115</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Convention </w:t>
      </w:r>
      <w:proofErr w:type="gramStart"/>
      <w:r w:rsidRPr="003C6B5F">
        <w:rPr>
          <w:rFonts w:ascii="Arial" w:hAnsi="Arial" w:cs="Arial"/>
          <w:sz w:val="20"/>
          <w:szCs w:val="20"/>
        </w:rPr>
        <w:t>Against</w:t>
      </w:r>
      <w:proofErr w:type="gramEnd"/>
      <w:r w:rsidRPr="003C6B5F">
        <w:rPr>
          <w:rFonts w:ascii="Arial" w:hAnsi="Arial" w:cs="Arial"/>
          <w:sz w:val="20"/>
          <w:szCs w:val="20"/>
        </w:rPr>
        <w:t xml:space="preserve"> Torture, arts. </w:t>
      </w:r>
      <w:proofErr w:type="gramStart"/>
      <w:r w:rsidRPr="003C6B5F">
        <w:rPr>
          <w:rFonts w:ascii="Arial" w:hAnsi="Arial" w:cs="Arial"/>
          <w:sz w:val="20"/>
          <w:szCs w:val="20"/>
        </w:rPr>
        <w:t>1 and 2.</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116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 xml:space="preserve">See </w:t>
      </w:r>
      <w:proofErr w:type="spellStart"/>
      <w:r w:rsidRPr="003C6B5F">
        <w:rPr>
          <w:rFonts w:ascii="Arial" w:hAnsi="Arial" w:cs="Arial"/>
          <w:sz w:val="20"/>
          <w:szCs w:val="20"/>
        </w:rPr>
        <w:t>onlyPhilippe</w:t>
      </w:r>
      <w:proofErr w:type="spellEnd"/>
      <w:r w:rsidRPr="003C6B5F">
        <w:rPr>
          <w:rFonts w:ascii="Arial" w:hAnsi="Arial" w:cs="Arial"/>
          <w:sz w:val="20"/>
          <w:szCs w:val="20"/>
        </w:rPr>
        <w:t xml:space="preserve"> Sands, Torture Team.</w:t>
      </w:r>
      <w:proofErr w:type="gramEnd"/>
      <w:r w:rsidRPr="003C6B5F">
        <w:rPr>
          <w:rFonts w:ascii="Arial" w:hAnsi="Arial" w:cs="Arial"/>
          <w:sz w:val="20"/>
          <w:szCs w:val="20"/>
        </w:rPr>
        <w:t xml:space="preserve"> Deception, Cruelty and the Compromise of Law (2008) and Torture: A Collection (Sanford Levinson ed., 2004).</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117</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spellStart"/>
      <w:proofErr w:type="gramStart"/>
      <w:r w:rsidRPr="003C6B5F">
        <w:rPr>
          <w:rFonts w:ascii="Arial" w:hAnsi="Arial" w:cs="Arial"/>
          <w:sz w:val="20"/>
          <w:szCs w:val="20"/>
        </w:rPr>
        <w:t>Douzinas</w:t>
      </w:r>
      <w:proofErr w:type="spellEnd"/>
      <w:r w:rsidRPr="003C6B5F">
        <w:rPr>
          <w:rFonts w:ascii="Arial" w:hAnsi="Arial" w:cs="Arial"/>
          <w:sz w:val="20"/>
          <w:szCs w:val="20"/>
        </w:rPr>
        <w:t>,</w:t>
      </w:r>
      <w:proofErr w:type="gramEnd"/>
      <w:r w:rsidRPr="003C6B5F">
        <w:rPr>
          <w:rFonts w:ascii="Arial" w:hAnsi="Arial" w:cs="Arial"/>
          <w:sz w:val="20"/>
          <w:szCs w:val="20"/>
        </w:rPr>
        <w:t xml:space="preserve"> supra note 79, at 184 referring to Richard Falk, The Declining World Order 11 and 16 (2004). See also </w:t>
      </w:r>
      <w:proofErr w:type="spellStart"/>
      <w:r w:rsidRPr="003C6B5F">
        <w:rPr>
          <w:rFonts w:ascii="Arial" w:hAnsi="Arial" w:cs="Arial"/>
          <w:sz w:val="20"/>
          <w:szCs w:val="20"/>
        </w:rPr>
        <w:t>Orford</w:t>
      </w:r>
      <w:proofErr w:type="spellEnd"/>
      <w:r w:rsidRPr="003C6B5F">
        <w:rPr>
          <w:rFonts w:ascii="Arial" w:hAnsi="Arial" w:cs="Arial"/>
          <w:sz w:val="20"/>
          <w:szCs w:val="20"/>
        </w:rPr>
        <w:t>, Responsibility to Protect, supra note 36.</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118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For a detailed analysis, </w:t>
      </w:r>
      <w:proofErr w:type="spellStart"/>
      <w:r w:rsidRPr="003C6B5F">
        <w:rPr>
          <w:rFonts w:ascii="Arial" w:hAnsi="Arial" w:cs="Arial"/>
          <w:sz w:val="20"/>
          <w:szCs w:val="20"/>
        </w:rPr>
        <w:t>seeSands</w:t>
      </w:r>
      <w:proofErr w:type="spellEnd"/>
      <w:r w:rsidRPr="003C6B5F">
        <w:rPr>
          <w:rFonts w:ascii="Arial" w:hAnsi="Arial" w:cs="Arial"/>
          <w:sz w:val="20"/>
          <w:szCs w:val="20"/>
        </w:rPr>
        <w:t xml:space="preserve">, supra </w:t>
      </w:r>
      <w:proofErr w:type="gramStart"/>
      <w:r w:rsidRPr="003C6B5F">
        <w:rPr>
          <w:rFonts w:ascii="Arial" w:hAnsi="Arial" w:cs="Arial"/>
          <w:sz w:val="20"/>
          <w:szCs w:val="20"/>
        </w:rPr>
        <w:t>note 116, and Frankenberg, supra note</w:t>
      </w:r>
      <w:proofErr w:type="gramEnd"/>
      <w:r w:rsidRPr="003C6B5F">
        <w:rPr>
          <w:rFonts w:ascii="Arial" w:hAnsi="Arial" w:cs="Arial"/>
          <w:sz w:val="20"/>
          <w:szCs w:val="20"/>
        </w:rPr>
        <w:t xml:space="preserve"> 37, at </w:t>
      </w:r>
      <w:proofErr w:type="spellStart"/>
      <w:r w:rsidRPr="003C6B5F">
        <w:rPr>
          <w:rFonts w:ascii="Arial" w:hAnsi="Arial" w:cs="Arial"/>
          <w:sz w:val="20"/>
          <w:szCs w:val="20"/>
        </w:rPr>
        <w:t>ch.</w:t>
      </w:r>
      <w:proofErr w:type="spellEnd"/>
      <w:r w:rsidRPr="003C6B5F">
        <w:rPr>
          <w:rFonts w:ascii="Arial" w:hAnsi="Arial" w:cs="Arial"/>
          <w:sz w:val="20"/>
          <w:szCs w:val="20"/>
        </w:rPr>
        <w:t xml:space="preserve"> VII.</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lastRenderedPageBreak/>
        <w:t>119</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roofErr w:type="gramStart"/>
      <w:r w:rsidRPr="003C6B5F">
        <w:rPr>
          <w:rFonts w:ascii="Arial" w:hAnsi="Arial" w:cs="Arial"/>
          <w:sz w:val="20"/>
          <w:szCs w:val="20"/>
        </w:rPr>
        <w:t>Quoted in Elizabeth Eaves, Defining Deviancy Down, Harper’s (Sept. 2004), at 6.</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120</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Dana Priest &amp; R. Jeffrey Smith, Memo Offered Justification for Use of Torture, Wash. Post (June 8, 2004) at A01.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121</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Id. See </w:t>
      </w:r>
      <w:proofErr w:type="spellStart"/>
      <w:proofErr w:type="gramStart"/>
      <w:r w:rsidRPr="003C6B5F">
        <w:rPr>
          <w:rFonts w:ascii="Arial" w:hAnsi="Arial" w:cs="Arial"/>
          <w:sz w:val="20"/>
          <w:szCs w:val="20"/>
        </w:rPr>
        <w:t>alsoSands</w:t>
      </w:r>
      <w:proofErr w:type="spellEnd"/>
      <w:r w:rsidRPr="003C6B5F">
        <w:rPr>
          <w:rFonts w:ascii="Arial" w:hAnsi="Arial" w:cs="Arial"/>
          <w:sz w:val="20"/>
          <w:szCs w:val="20"/>
        </w:rPr>
        <w:t>,</w:t>
      </w:r>
      <w:proofErr w:type="gramEnd"/>
      <w:r w:rsidRPr="003C6B5F">
        <w:rPr>
          <w:rFonts w:ascii="Arial" w:hAnsi="Arial" w:cs="Arial"/>
          <w:sz w:val="20"/>
          <w:szCs w:val="20"/>
        </w:rPr>
        <w:t xml:space="preserve"> supra note 116, and </w:t>
      </w:r>
      <w:proofErr w:type="spellStart"/>
      <w:r w:rsidRPr="003C6B5F">
        <w:rPr>
          <w:rFonts w:ascii="Arial" w:hAnsi="Arial" w:cs="Arial"/>
          <w:sz w:val="20"/>
          <w:szCs w:val="20"/>
        </w:rPr>
        <w:t>Marnia</w:t>
      </w:r>
      <w:proofErr w:type="spellEnd"/>
      <w:r w:rsidRPr="003C6B5F">
        <w:rPr>
          <w:rFonts w:ascii="Arial" w:hAnsi="Arial" w:cs="Arial"/>
          <w:sz w:val="20"/>
          <w:szCs w:val="20"/>
        </w:rPr>
        <w:t xml:space="preserve"> </w:t>
      </w:r>
      <w:proofErr w:type="spellStart"/>
      <w:r w:rsidRPr="003C6B5F">
        <w:rPr>
          <w:rFonts w:ascii="Arial" w:hAnsi="Arial" w:cs="Arial"/>
          <w:sz w:val="20"/>
          <w:szCs w:val="20"/>
        </w:rPr>
        <w:t>Lazreg</w:t>
      </w:r>
      <w:proofErr w:type="spellEnd"/>
      <w:r w:rsidRPr="003C6B5F">
        <w:rPr>
          <w:rFonts w:ascii="Arial" w:hAnsi="Arial" w:cs="Arial"/>
          <w:sz w:val="20"/>
          <w:szCs w:val="20"/>
        </w:rPr>
        <w:t>, Torture and the Twilight of Empire (2008).</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122</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Jane Mayer, Outsourcing Torture, 81 </w:t>
      </w:r>
      <w:proofErr w:type="gramStart"/>
      <w:r w:rsidRPr="003C6B5F">
        <w:rPr>
          <w:rFonts w:ascii="Arial" w:hAnsi="Arial" w:cs="Arial"/>
          <w:sz w:val="20"/>
          <w:szCs w:val="20"/>
        </w:rPr>
        <w:t>The</w:t>
      </w:r>
      <w:proofErr w:type="gramEnd"/>
      <w:r w:rsidRPr="003C6B5F">
        <w:rPr>
          <w:rFonts w:ascii="Arial" w:hAnsi="Arial" w:cs="Arial"/>
          <w:sz w:val="20"/>
          <w:szCs w:val="20"/>
        </w:rPr>
        <w:t xml:space="preserve"> New Yorker 106 (2005). See also Günter Frankenberg, Torture and Taboo: An Essay Comparing Paradigms of Organized Cruelty, 56 Am. J. Comp. L. 403 (2008), with further references.</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123</w:t>
      </w: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 xml:space="preserve">John Parry, </w:t>
      </w:r>
      <w:proofErr w:type="gramStart"/>
      <w:r w:rsidRPr="003C6B5F">
        <w:rPr>
          <w:rFonts w:ascii="Arial" w:hAnsi="Arial" w:cs="Arial"/>
          <w:sz w:val="20"/>
          <w:szCs w:val="20"/>
        </w:rPr>
        <w:t>The</w:t>
      </w:r>
      <w:proofErr w:type="gramEnd"/>
      <w:r w:rsidRPr="003C6B5F">
        <w:rPr>
          <w:rFonts w:ascii="Arial" w:hAnsi="Arial" w:cs="Arial"/>
          <w:sz w:val="20"/>
          <w:szCs w:val="20"/>
        </w:rPr>
        <w:t xml:space="preserve"> Shape of Modern Torture: Extraordinary Rendition and Ghost Detainees, 6 </w:t>
      </w:r>
      <w:proofErr w:type="spellStart"/>
      <w:r w:rsidRPr="003C6B5F">
        <w:rPr>
          <w:rFonts w:ascii="Arial" w:hAnsi="Arial" w:cs="Arial"/>
          <w:sz w:val="20"/>
          <w:szCs w:val="20"/>
        </w:rPr>
        <w:t>MelbourneJ</w:t>
      </w:r>
      <w:proofErr w:type="spellEnd"/>
      <w:r w:rsidRPr="003C6B5F">
        <w:rPr>
          <w:rFonts w:ascii="Arial" w:hAnsi="Arial" w:cs="Arial"/>
          <w:sz w:val="20"/>
          <w:szCs w:val="20"/>
        </w:rPr>
        <w:t xml:space="preserve">. </w:t>
      </w:r>
      <w:proofErr w:type="gramStart"/>
      <w:r w:rsidRPr="003C6B5F">
        <w:rPr>
          <w:rFonts w:ascii="Arial" w:hAnsi="Arial" w:cs="Arial"/>
          <w:sz w:val="20"/>
          <w:szCs w:val="20"/>
        </w:rPr>
        <w:t>Int’l L. 516, 520 (2005).</w:t>
      </w:r>
      <w:proofErr w:type="gramEnd"/>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p>
    <w:p w:rsidR="003C6B5F" w:rsidRPr="003C6B5F" w:rsidRDefault="003C6B5F" w:rsidP="003C6B5F">
      <w:pPr>
        <w:rPr>
          <w:rFonts w:ascii="Arial" w:hAnsi="Arial" w:cs="Arial"/>
          <w:sz w:val="20"/>
          <w:szCs w:val="20"/>
        </w:rPr>
      </w:pPr>
      <w:r w:rsidRPr="003C6B5F">
        <w:rPr>
          <w:rFonts w:ascii="Arial" w:hAnsi="Arial" w:cs="Arial"/>
          <w:sz w:val="20"/>
          <w:szCs w:val="20"/>
        </w:rPr>
        <w:t>124</w:t>
      </w:r>
    </w:p>
    <w:p w:rsidR="003C6B5F" w:rsidRPr="003C6B5F" w:rsidRDefault="003C6B5F" w:rsidP="003C6B5F">
      <w:pPr>
        <w:rPr>
          <w:rFonts w:ascii="Arial" w:hAnsi="Arial" w:cs="Arial"/>
          <w:sz w:val="20"/>
          <w:szCs w:val="20"/>
        </w:rPr>
      </w:pPr>
    </w:p>
    <w:p w:rsidR="005A7D81" w:rsidRDefault="003C6B5F" w:rsidP="003C6B5F">
      <w:pPr>
        <w:rPr>
          <w:rFonts w:ascii="Arial" w:hAnsi="Arial" w:cs="Arial"/>
          <w:sz w:val="20"/>
          <w:szCs w:val="20"/>
        </w:rPr>
      </w:pPr>
      <w:r w:rsidRPr="003C6B5F">
        <w:rPr>
          <w:rFonts w:ascii="Arial" w:hAnsi="Arial" w:cs="Arial"/>
          <w:sz w:val="20"/>
          <w:szCs w:val="20"/>
        </w:rPr>
        <w:t>“[C]</w:t>
      </w:r>
      <w:proofErr w:type="spellStart"/>
      <w:r w:rsidRPr="003C6B5F">
        <w:rPr>
          <w:rFonts w:ascii="Arial" w:hAnsi="Arial" w:cs="Arial"/>
          <w:sz w:val="20"/>
          <w:szCs w:val="20"/>
        </w:rPr>
        <w:t>reating</w:t>
      </w:r>
      <w:proofErr w:type="spellEnd"/>
      <w:r w:rsidRPr="003C6B5F">
        <w:rPr>
          <w:rFonts w:ascii="Arial" w:hAnsi="Arial" w:cs="Arial"/>
          <w:sz w:val="20"/>
          <w:szCs w:val="20"/>
        </w:rPr>
        <w:t xml:space="preserve"> a law of torture will almost inevitably lead to exceptions” and any attempt to resolve “this tension by prohibiting exceptions does no more than make definition rather than exception the central legal issue” (id. at 520).</w:t>
      </w:r>
    </w:p>
    <w:p w:rsidR="003C6B5F" w:rsidRDefault="003C6B5F" w:rsidP="003C6B5F">
      <w:pPr>
        <w:rPr>
          <w:rFonts w:ascii="Arial" w:hAnsi="Arial" w:cs="Arial"/>
          <w:sz w:val="20"/>
          <w:szCs w:val="20"/>
        </w:rPr>
      </w:pPr>
    </w:p>
    <w:p w:rsidR="003C6B5F" w:rsidRPr="003C6B5F" w:rsidRDefault="003C6B5F" w:rsidP="003C6B5F">
      <w:pPr>
        <w:ind w:firstLine="720"/>
        <w:rPr>
          <w:rFonts w:cs="Times New Roman"/>
          <w:sz w:val="20"/>
          <w:szCs w:val="20"/>
        </w:rPr>
      </w:pPr>
      <w:r w:rsidRPr="003C6B5F">
        <w:rPr>
          <w:rFonts w:cs="Times New Roman"/>
          <w:sz w:val="20"/>
          <w:szCs w:val="20"/>
        </w:rPr>
        <w:t>--- https://academic.oup.com/icon/article/12/1/35/628590/Human-rights-and-the-belief-in-a-just-world</w:t>
      </w:r>
    </w:p>
    <w:p w:rsidR="003C6B5F" w:rsidRDefault="003C6B5F" w:rsidP="003C6B5F">
      <w:pPr>
        <w:rPr>
          <w:rFonts w:ascii="Arial" w:hAnsi="Arial" w:cs="Arial"/>
          <w:sz w:val="20"/>
          <w:szCs w:val="20"/>
        </w:rPr>
      </w:pPr>
    </w:p>
    <w:p w:rsidR="003C6B5F" w:rsidRDefault="003C6B5F" w:rsidP="003C6B5F">
      <w:pPr>
        <w:rPr>
          <w:rFonts w:ascii="Arial" w:hAnsi="Arial" w:cs="Arial"/>
          <w:sz w:val="20"/>
          <w:szCs w:val="20"/>
        </w:rPr>
      </w:pPr>
    </w:p>
    <w:p w:rsidR="003C6B5F" w:rsidRDefault="003C6B5F" w:rsidP="003C6B5F">
      <w:pPr>
        <w:rPr>
          <w:rFonts w:ascii="Arial" w:hAnsi="Arial" w:cs="Arial"/>
          <w:sz w:val="20"/>
          <w:szCs w:val="20"/>
        </w:rPr>
      </w:pPr>
    </w:p>
    <w:p w:rsidR="003C6B5F" w:rsidRDefault="003C6B5F" w:rsidP="003C6B5F">
      <w:pPr>
        <w:rPr>
          <w:rFonts w:ascii="Arial" w:hAnsi="Arial" w:cs="Arial"/>
          <w:sz w:val="20"/>
          <w:szCs w:val="20"/>
        </w:rPr>
      </w:pPr>
    </w:p>
    <w:p w:rsidR="003C6B5F" w:rsidRPr="005A7D81" w:rsidRDefault="003C6B5F" w:rsidP="003C6B5F">
      <w:pPr>
        <w:rPr>
          <w:rFonts w:ascii="Arial" w:hAnsi="Arial" w:cs="Arial"/>
          <w:sz w:val="20"/>
          <w:szCs w:val="20"/>
        </w:rPr>
      </w:pPr>
    </w:p>
    <w:sectPr w:rsidR="003C6B5F" w:rsidRPr="005A7D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819"/>
    <w:rsid w:val="001D22A4"/>
    <w:rsid w:val="00393556"/>
    <w:rsid w:val="003A6A20"/>
    <w:rsid w:val="003B3470"/>
    <w:rsid w:val="003C6B5F"/>
    <w:rsid w:val="00413B29"/>
    <w:rsid w:val="004327FD"/>
    <w:rsid w:val="00432E8F"/>
    <w:rsid w:val="004542D1"/>
    <w:rsid w:val="00456E26"/>
    <w:rsid w:val="00480A4A"/>
    <w:rsid w:val="004C7819"/>
    <w:rsid w:val="00507EDC"/>
    <w:rsid w:val="005A7D81"/>
    <w:rsid w:val="00676EB8"/>
    <w:rsid w:val="007A23B7"/>
    <w:rsid w:val="00842364"/>
    <w:rsid w:val="00896C24"/>
    <w:rsid w:val="008E6289"/>
    <w:rsid w:val="00915621"/>
    <w:rsid w:val="00917D2C"/>
    <w:rsid w:val="00AF242D"/>
    <w:rsid w:val="00C03EF1"/>
    <w:rsid w:val="00E51666"/>
    <w:rsid w:val="00E86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07E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07E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40</Pages>
  <Words>17339</Words>
  <Characters>98834</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115942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%username%</cp:lastModifiedBy>
  <cp:revision>46</cp:revision>
  <dcterms:created xsi:type="dcterms:W3CDTF">2017-11-03T17:37:00Z</dcterms:created>
  <dcterms:modified xsi:type="dcterms:W3CDTF">2017-11-04T15:39:00Z</dcterms:modified>
</cp:coreProperties>
</file>